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3A0C2C" w14:textId="77777777" w:rsidR="00775B07" w:rsidRPr="00A277F4" w:rsidRDefault="001720E0" w:rsidP="001720E0">
      <w:pPr>
        <w:jc w:val="right"/>
        <w:rPr>
          <w:rFonts w:ascii="Century Gothic" w:hAnsi="Century Gothic"/>
        </w:rPr>
      </w:pPr>
      <w:r>
        <w:rPr>
          <w:noProof/>
        </w:rPr>
        <w:drawing>
          <wp:inline distT="0" distB="0" distL="0" distR="0" wp14:anchorId="2D07D20A" wp14:editId="20119576">
            <wp:extent cx="1219200" cy="521818"/>
            <wp:effectExtent l="0" t="0" r="0" b="0"/>
            <wp:docPr id="2" name="Obraz 2" descr="http://www.gaz-system.pl/fileadmin/centrum_prasowe/Logotypy/logo_z_polem_ochronnym/podstawowe/logotyp_rgb_z_polem_ochronnym_na_ww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gaz-system.pl/fileadmin/centrum_prasowe/Logotypy/logo_z_polem_ochronnym/podstawowe/logotyp_rgb_z_polem_ochronnym_na_www.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19200" cy="521818"/>
                    </a:xfrm>
                    <a:prstGeom prst="rect">
                      <a:avLst/>
                    </a:prstGeom>
                    <a:noFill/>
                    <a:ln>
                      <a:noFill/>
                    </a:ln>
                  </pic:spPr>
                </pic:pic>
              </a:graphicData>
            </a:graphic>
          </wp:inline>
        </w:drawing>
      </w:r>
    </w:p>
    <w:p w14:paraId="75F1C940" w14:textId="77777777" w:rsidR="00A277F4" w:rsidRPr="00A277F4" w:rsidRDefault="00A277F4">
      <w:pPr>
        <w:rPr>
          <w:rFonts w:ascii="Century Gothic" w:hAnsi="Century Gothic"/>
        </w:rPr>
      </w:pPr>
    </w:p>
    <w:p w14:paraId="57C29136" w14:textId="77777777" w:rsidR="001720E0" w:rsidRDefault="001720E0" w:rsidP="00A277F4">
      <w:pPr>
        <w:spacing w:after="0" w:line="240" w:lineRule="auto"/>
        <w:jc w:val="center"/>
        <w:rPr>
          <w:rFonts w:ascii="Century Gothic" w:hAnsi="Century Gothic"/>
          <w:b/>
          <w:sz w:val="28"/>
          <w:szCs w:val="28"/>
        </w:rPr>
      </w:pPr>
    </w:p>
    <w:p w14:paraId="5E49B349" w14:textId="42C72535" w:rsidR="00A277F4" w:rsidRPr="00B33577" w:rsidRDefault="00A277F4" w:rsidP="00A277F4">
      <w:pPr>
        <w:spacing w:after="0" w:line="240" w:lineRule="auto"/>
        <w:jc w:val="center"/>
        <w:rPr>
          <w:rFonts w:ascii="Century Gothic" w:hAnsi="Century Gothic"/>
          <w:b/>
          <w:sz w:val="28"/>
          <w:szCs w:val="28"/>
          <w:lang w:val="en-GB"/>
        </w:rPr>
      </w:pPr>
      <w:r w:rsidRPr="00B33577">
        <w:rPr>
          <w:rFonts w:ascii="Century Gothic" w:hAnsi="Century Gothic"/>
          <w:b/>
          <w:sz w:val="28"/>
          <w:szCs w:val="28"/>
          <w:lang w:val="en-GB"/>
        </w:rPr>
        <w:t>Publi</w:t>
      </w:r>
      <w:r w:rsidR="00B33577" w:rsidRPr="00B33577">
        <w:rPr>
          <w:rFonts w:ascii="Century Gothic" w:hAnsi="Century Gothic"/>
          <w:b/>
          <w:sz w:val="28"/>
          <w:szCs w:val="28"/>
          <w:lang w:val="en-GB"/>
        </w:rPr>
        <w:t xml:space="preserve">cation of the information </w:t>
      </w:r>
      <w:r w:rsidR="00B33577">
        <w:rPr>
          <w:rFonts w:ascii="Century Gothic" w:hAnsi="Century Gothic"/>
          <w:b/>
          <w:sz w:val="28"/>
          <w:szCs w:val="28"/>
          <w:lang w:val="en-GB"/>
        </w:rPr>
        <w:t xml:space="preserve">for tariff year </w:t>
      </w:r>
      <w:r w:rsidR="00F561AE">
        <w:rPr>
          <w:rFonts w:ascii="Century Gothic" w:hAnsi="Century Gothic"/>
          <w:b/>
          <w:sz w:val="28"/>
          <w:szCs w:val="28"/>
          <w:lang w:val="en-GB"/>
        </w:rPr>
        <w:t>202</w:t>
      </w:r>
      <w:r w:rsidR="00265482">
        <w:rPr>
          <w:rFonts w:ascii="Century Gothic" w:hAnsi="Century Gothic"/>
          <w:b/>
          <w:sz w:val="28"/>
          <w:szCs w:val="28"/>
          <w:lang w:val="en-GB"/>
        </w:rPr>
        <w:t>6</w:t>
      </w:r>
      <w:r w:rsidR="00B33577">
        <w:rPr>
          <w:rFonts w:ascii="Century Gothic" w:hAnsi="Century Gothic"/>
          <w:b/>
          <w:sz w:val="28"/>
          <w:szCs w:val="28"/>
          <w:lang w:val="en-GB"/>
        </w:rPr>
        <w:t>/</w:t>
      </w:r>
      <w:r w:rsidR="00F561AE">
        <w:rPr>
          <w:rFonts w:ascii="Century Gothic" w:hAnsi="Century Gothic"/>
          <w:b/>
          <w:sz w:val="28"/>
          <w:szCs w:val="28"/>
          <w:lang w:val="en-GB"/>
        </w:rPr>
        <w:t>202</w:t>
      </w:r>
      <w:r w:rsidR="00265482">
        <w:rPr>
          <w:rFonts w:ascii="Century Gothic" w:hAnsi="Century Gothic"/>
          <w:b/>
          <w:sz w:val="28"/>
          <w:szCs w:val="28"/>
          <w:lang w:val="en-GB"/>
        </w:rPr>
        <w:t>7</w:t>
      </w:r>
      <w:r w:rsidR="00F561AE">
        <w:rPr>
          <w:rFonts w:ascii="Century Gothic" w:hAnsi="Century Gothic"/>
          <w:b/>
          <w:sz w:val="28"/>
          <w:szCs w:val="28"/>
          <w:lang w:val="en-GB"/>
        </w:rPr>
        <w:t xml:space="preserve"> </w:t>
      </w:r>
      <w:r w:rsidR="00434D83" w:rsidRPr="00B33577">
        <w:rPr>
          <w:rFonts w:ascii="Century Gothic" w:hAnsi="Century Gothic"/>
          <w:b/>
          <w:sz w:val="28"/>
          <w:szCs w:val="28"/>
          <w:lang w:val="en-GB"/>
        </w:rPr>
        <w:t>referred</w:t>
      </w:r>
      <w:r w:rsidR="00B33577" w:rsidRPr="00B33577">
        <w:rPr>
          <w:rFonts w:ascii="Century Gothic" w:hAnsi="Century Gothic"/>
          <w:b/>
          <w:sz w:val="28"/>
          <w:szCs w:val="28"/>
          <w:lang w:val="en-GB"/>
        </w:rPr>
        <w:t xml:space="preserve"> to in </w:t>
      </w:r>
      <w:r w:rsidR="00672DDA">
        <w:rPr>
          <w:rFonts w:ascii="Century Gothic" w:hAnsi="Century Gothic"/>
          <w:b/>
          <w:sz w:val="28"/>
          <w:szCs w:val="28"/>
          <w:lang w:val="en-GB"/>
        </w:rPr>
        <w:t>A</w:t>
      </w:r>
      <w:r w:rsidR="00B33577" w:rsidRPr="00B33577">
        <w:rPr>
          <w:rFonts w:ascii="Century Gothic" w:hAnsi="Century Gothic"/>
          <w:b/>
          <w:sz w:val="28"/>
          <w:szCs w:val="28"/>
          <w:lang w:val="en-GB"/>
        </w:rPr>
        <w:t xml:space="preserve">rticle 29 </w:t>
      </w:r>
      <w:r w:rsidR="00B33577">
        <w:rPr>
          <w:rFonts w:ascii="Century Gothic" w:hAnsi="Century Gothic"/>
          <w:b/>
          <w:sz w:val="28"/>
          <w:szCs w:val="28"/>
          <w:lang w:val="en-GB"/>
        </w:rPr>
        <w:t xml:space="preserve">of the TAR </w:t>
      </w:r>
      <w:r w:rsidRPr="00B33577">
        <w:rPr>
          <w:rFonts w:ascii="Century Gothic" w:hAnsi="Century Gothic"/>
          <w:b/>
          <w:sz w:val="28"/>
          <w:szCs w:val="28"/>
          <w:lang w:val="en-GB"/>
        </w:rPr>
        <w:t>NC</w:t>
      </w:r>
      <w:r w:rsidRPr="00A277F4">
        <w:rPr>
          <w:rStyle w:val="Odwoanieprzypisudolnego"/>
          <w:rFonts w:ascii="Century Gothic" w:hAnsi="Century Gothic"/>
          <w:b/>
          <w:sz w:val="28"/>
          <w:szCs w:val="28"/>
        </w:rPr>
        <w:footnoteReference w:id="1"/>
      </w:r>
      <w:r w:rsidRPr="00B33577">
        <w:rPr>
          <w:rFonts w:ascii="Century Gothic" w:hAnsi="Century Gothic"/>
          <w:b/>
          <w:sz w:val="28"/>
          <w:szCs w:val="28"/>
          <w:lang w:val="en-GB"/>
        </w:rPr>
        <w:t>,</w:t>
      </w:r>
    </w:p>
    <w:p w14:paraId="4C6FDC39" w14:textId="77777777" w:rsidR="00A277F4" w:rsidRPr="00672DDA" w:rsidRDefault="00A277F4" w:rsidP="00A277F4">
      <w:pPr>
        <w:rPr>
          <w:rFonts w:ascii="Century Gothic" w:hAnsi="Century Gothic"/>
          <w:lang w:val="en-GB"/>
        </w:rPr>
      </w:pPr>
    </w:p>
    <w:p w14:paraId="47ACFF2C" w14:textId="77777777" w:rsidR="00076AD5" w:rsidRPr="00076AD5" w:rsidRDefault="00076AD5" w:rsidP="004324A3">
      <w:pPr>
        <w:spacing w:line="360" w:lineRule="auto"/>
        <w:jc w:val="both"/>
        <w:rPr>
          <w:rFonts w:ascii="Century Gothic" w:hAnsi="Century Gothic"/>
          <w:sz w:val="20"/>
          <w:szCs w:val="20"/>
          <w:lang w:val="en-GB"/>
        </w:rPr>
      </w:pPr>
      <w:r w:rsidRPr="00076AD5">
        <w:rPr>
          <w:rFonts w:ascii="Century Gothic" w:hAnsi="Century Gothic"/>
          <w:sz w:val="20"/>
          <w:szCs w:val="20"/>
          <w:lang w:val="en-GB"/>
        </w:rPr>
        <w:t>Tariff No. 1/2027 for gas transmission services was drawn up on the basis of the Method for determining reference prices for the GAZ-SYSTEM network for the years 2027–2029, approved by the President of the Energy Regulatory Office on 26 March 2026.</w:t>
      </w:r>
    </w:p>
    <w:p w14:paraId="52C61E90" w14:textId="0CE3782C" w:rsidR="00076AD5" w:rsidRPr="00076AD5" w:rsidRDefault="00076AD5" w:rsidP="004324A3">
      <w:pPr>
        <w:spacing w:line="360" w:lineRule="auto"/>
        <w:jc w:val="both"/>
        <w:rPr>
          <w:rFonts w:ascii="Century Gothic" w:hAnsi="Century Gothic"/>
          <w:sz w:val="20"/>
          <w:szCs w:val="20"/>
          <w:lang w:val="en-GB"/>
        </w:rPr>
      </w:pPr>
      <w:r w:rsidRPr="00076AD5">
        <w:rPr>
          <w:rFonts w:ascii="Century Gothic" w:hAnsi="Century Gothic"/>
          <w:sz w:val="20"/>
          <w:szCs w:val="20"/>
          <w:lang w:val="en-GB"/>
        </w:rPr>
        <w:t>In accordance with the applicable method</w:t>
      </w:r>
      <w:r w:rsidR="00F312CE">
        <w:rPr>
          <w:rFonts w:ascii="Century Gothic" w:hAnsi="Century Gothic"/>
          <w:sz w:val="20"/>
          <w:szCs w:val="20"/>
          <w:lang w:val="en-GB"/>
        </w:rPr>
        <w:t>,</w:t>
      </w:r>
      <w:r w:rsidR="00B34CEF">
        <w:rPr>
          <w:rFonts w:ascii="Century Gothic" w:hAnsi="Century Gothic"/>
          <w:sz w:val="20"/>
          <w:szCs w:val="20"/>
          <w:lang w:val="en-GB"/>
        </w:rPr>
        <w:t xml:space="preserve"> </w:t>
      </w:r>
      <w:r w:rsidR="00B34CEF" w:rsidRPr="00ED4441">
        <w:rPr>
          <w:rFonts w:ascii="Century Gothic" w:hAnsi="Century Gothic"/>
          <w:sz w:val="20"/>
          <w:szCs w:val="20"/>
          <w:lang w:val="en-GB"/>
        </w:rPr>
        <w:t>Tariff</w:t>
      </w:r>
      <w:r w:rsidR="008A43E8">
        <w:rPr>
          <w:rFonts w:ascii="Century Gothic" w:hAnsi="Century Gothic"/>
          <w:sz w:val="20"/>
          <w:szCs w:val="20"/>
          <w:lang w:val="en-GB"/>
        </w:rPr>
        <w:t xml:space="preserve"> No. 1/2027 </w:t>
      </w:r>
      <w:r w:rsidR="00B34CEF">
        <w:rPr>
          <w:rFonts w:ascii="Century Gothic" w:hAnsi="Century Gothic"/>
          <w:sz w:val="20"/>
          <w:szCs w:val="20"/>
          <w:lang w:val="en-GB"/>
        </w:rPr>
        <w:t>takes into account</w:t>
      </w:r>
      <w:r w:rsidRPr="00076AD5">
        <w:rPr>
          <w:rFonts w:ascii="Century Gothic" w:hAnsi="Century Gothic"/>
          <w:sz w:val="20"/>
          <w:szCs w:val="20"/>
          <w:lang w:val="en-GB"/>
        </w:rPr>
        <w:t xml:space="preserve"> a single integrated natural gas entry/exit system has been established within the territory of the Republic of Poland, comprising the Operator’s own E and L natural gas transmission networks and the transmission network owned by EuRoPol GAZ. </w:t>
      </w:r>
      <w:r w:rsidRPr="00A66966">
        <w:rPr>
          <w:rFonts w:ascii="Century Gothic" w:hAnsi="Century Gothic"/>
          <w:sz w:val="20"/>
          <w:szCs w:val="20"/>
          <w:lang w:val="en-GB"/>
        </w:rPr>
        <w:t xml:space="preserve">As part of the merger of the KSP and SGT transmission networks into a single integrated natural gas entry/exit system, </w:t>
      </w:r>
      <w:r w:rsidR="00B34CEF" w:rsidRPr="00B34CEF">
        <w:rPr>
          <w:rFonts w:ascii="Century Gothic" w:hAnsi="Century Gothic"/>
          <w:sz w:val="20"/>
          <w:szCs w:val="20"/>
          <w:lang w:val="en-GB"/>
        </w:rPr>
        <w:t>no charges will be applied at the PWP Interconnection Point in 2027.</w:t>
      </w:r>
      <w:r w:rsidRPr="00076AD5">
        <w:rPr>
          <w:rFonts w:ascii="Century Gothic" w:hAnsi="Century Gothic"/>
          <w:sz w:val="20"/>
          <w:szCs w:val="20"/>
          <w:lang w:val="en-GB"/>
        </w:rPr>
        <w:t xml:space="preserve"> From 2027, it has been agreed to establish a</w:t>
      </w:r>
      <w:r w:rsidR="00F911CC">
        <w:rPr>
          <w:rFonts w:ascii="Century Gothic" w:hAnsi="Century Gothic"/>
          <w:sz w:val="20"/>
          <w:szCs w:val="20"/>
          <w:lang w:val="en-GB"/>
        </w:rPr>
        <w:t> </w:t>
      </w:r>
      <w:r w:rsidRPr="00076AD5">
        <w:rPr>
          <w:rFonts w:ascii="Century Gothic" w:hAnsi="Century Gothic"/>
          <w:sz w:val="20"/>
          <w:szCs w:val="20"/>
          <w:lang w:val="en-GB"/>
        </w:rPr>
        <w:t xml:space="preserve">single joint virtual point on the Poland-Germany border comprising the currently existing GCPs GAZ-SYSTEM/ONTRAS (KSP) and Mallnow (SGT). </w:t>
      </w:r>
    </w:p>
    <w:p w14:paraId="158F6384" w14:textId="77777777" w:rsidR="00076AD5" w:rsidRPr="00076AD5" w:rsidRDefault="00076AD5" w:rsidP="00076AD5">
      <w:pPr>
        <w:rPr>
          <w:rFonts w:ascii="Century Gothic" w:hAnsi="Century Gothic"/>
          <w:lang w:val="en-GB"/>
        </w:rPr>
      </w:pPr>
    </w:p>
    <w:p w14:paraId="5CB6D441" w14:textId="7FA25A49" w:rsidR="00A277F4" w:rsidRPr="00B33577" w:rsidRDefault="00B33577" w:rsidP="000B3C39">
      <w:pPr>
        <w:pStyle w:val="Akapitzlist"/>
        <w:numPr>
          <w:ilvl w:val="0"/>
          <w:numId w:val="1"/>
        </w:numPr>
        <w:spacing w:before="240" w:line="360" w:lineRule="auto"/>
        <w:ind w:left="284" w:hanging="284"/>
        <w:jc w:val="both"/>
        <w:rPr>
          <w:rFonts w:ascii="Century Gothic" w:hAnsi="Century Gothic"/>
          <w:b/>
          <w:sz w:val="20"/>
          <w:szCs w:val="20"/>
          <w:lang w:val="en-GB"/>
        </w:rPr>
      </w:pPr>
      <w:r w:rsidRPr="00B33577">
        <w:rPr>
          <w:rFonts w:ascii="Century Gothic" w:hAnsi="Century Gothic"/>
          <w:b/>
          <w:sz w:val="20"/>
          <w:szCs w:val="20"/>
          <w:lang w:val="en-GB"/>
        </w:rPr>
        <w:t xml:space="preserve">The reserve prices for interconnection points and points other than interconnection points where Regulation (EU) 2017/459 rules </w:t>
      </w:r>
      <w:r w:rsidR="006641CE" w:rsidRPr="00B33577">
        <w:rPr>
          <w:rFonts w:ascii="Century Gothic" w:hAnsi="Century Gothic"/>
          <w:b/>
          <w:sz w:val="20"/>
          <w:szCs w:val="20"/>
          <w:lang w:val="en-GB"/>
        </w:rPr>
        <w:t>apply (</w:t>
      </w:r>
      <w:r w:rsidR="00672DDA">
        <w:rPr>
          <w:rFonts w:ascii="Century Gothic" w:hAnsi="Century Gothic"/>
          <w:b/>
          <w:sz w:val="20"/>
          <w:szCs w:val="20"/>
          <w:lang w:val="en-GB"/>
        </w:rPr>
        <w:t>A</w:t>
      </w:r>
      <w:r w:rsidR="00A277F4" w:rsidRPr="00B33577">
        <w:rPr>
          <w:rFonts w:ascii="Century Gothic" w:hAnsi="Century Gothic"/>
          <w:b/>
          <w:sz w:val="20"/>
          <w:szCs w:val="20"/>
          <w:lang w:val="en-GB"/>
        </w:rPr>
        <w:t>rt</w:t>
      </w:r>
      <w:r w:rsidRPr="00B33577">
        <w:rPr>
          <w:rFonts w:ascii="Century Gothic" w:hAnsi="Century Gothic"/>
          <w:b/>
          <w:sz w:val="20"/>
          <w:szCs w:val="20"/>
          <w:lang w:val="en-GB"/>
        </w:rPr>
        <w:t xml:space="preserve">icle </w:t>
      </w:r>
      <w:r w:rsidR="00A277F4" w:rsidRPr="00B33577">
        <w:rPr>
          <w:rFonts w:ascii="Century Gothic" w:hAnsi="Century Gothic"/>
          <w:b/>
          <w:sz w:val="20"/>
          <w:szCs w:val="20"/>
          <w:lang w:val="en-GB"/>
        </w:rPr>
        <w:t>29</w:t>
      </w:r>
      <w:r w:rsidRPr="00B33577">
        <w:rPr>
          <w:rFonts w:ascii="Century Gothic" w:hAnsi="Century Gothic"/>
          <w:b/>
          <w:sz w:val="20"/>
          <w:szCs w:val="20"/>
          <w:lang w:val="en-GB"/>
        </w:rPr>
        <w:t xml:space="preserve"> (</w:t>
      </w:r>
      <w:r w:rsidR="00A277F4" w:rsidRPr="00B33577">
        <w:rPr>
          <w:rFonts w:ascii="Century Gothic" w:hAnsi="Century Gothic"/>
          <w:b/>
          <w:sz w:val="20"/>
          <w:szCs w:val="20"/>
          <w:lang w:val="en-GB"/>
        </w:rPr>
        <w:t xml:space="preserve">a) (i) </w:t>
      </w:r>
      <w:r w:rsidRPr="00B33577">
        <w:rPr>
          <w:rFonts w:ascii="Century Gothic" w:hAnsi="Century Gothic"/>
          <w:b/>
          <w:sz w:val="20"/>
          <w:szCs w:val="20"/>
          <w:lang w:val="en-GB"/>
        </w:rPr>
        <w:t>and (</w:t>
      </w:r>
      <w:r w:rsidR="00A277F4" w:rsidRPr="00B33577">
        <w:rPr>
          <w:rFonts w:ascii="Century Gothic" w:hAnsi="Century Gothic"/>
          <w:b/>
          <w:sz w:val="20"/>
          <w:szCs w:val="20"/>
          <w:lang w:val="en-GB"/>
        </w:rPr>
        <w:t xml:space="preserve">b) (i) </w:t>
      </w:r>
      <w:r w:rsidRPr="00B33577">
        <w:rPr>
          <w:rFonts w:ascii="Century Gothic" w:hAnsi="Century Gothic"/>
          <w:b/>
          <w:sz w:val="20"/>
          <w:szCs w:val="20"/>
          <w:lang w:val="en-GB"/>
        </w:rPr>
        <w:t>of the TAR NC</w:t>
      </w:r>
      <w:r w:rsidR="00A277F4" w:rsidRPr="00B33577">
        <w:rPr>
          <w:rFonts w:ascii="Century Gothic" w:hAnsi="Century Gothic"/>
          <w:b/>
          <w:sz w:val="20"/>
          <w:szCs w:val="20"/>
          <w:lang w:val="en-GB"/>
        </w:rPr>
        <w:t>).</w:t>
      </w:r>
    </w:p>
    <w:p w14:paraId="4AE55D5D" w14:textId="77777777" w:rsidR="003B0A20" w:rsidRDefault="00AA35FB" w:rsidP="000B3C39">
      <w:pPr>
        <w:spacing w:before="240" w:line="360" w:lineRule="auto"/>
        <w:jc w:val="both"/>
        <w:rPr>
          <w:rFonts w:ascii="Century Gothic" w:hAnsi="Century Gothic"/>
          <w:sz w:val="20"/>
          <w:szCs w:val="20"/>
          <w:lang w:val="en-GB"/>
        </w:rPr>
      </w:pPr>
      <w:r>
        <w:rPr>
          <w:rFonts w:ascii="Century Gothic" w:hAnsi="Century Gothic"/>
          <w:sz w:val="20"/>
          <w:szCs w:val="20"/>
          <w:lang w:val="en-GB"/>
        </w:rPr>
        <w:t xml:space="preserve">Prices resulting from </w:t>
      </w:r>
      <w:r w:rsidR="00CA609A">
        <w:rPr>
          <w:rFonts w:ascii="Century Gothic" w:hAnsi="Century Gothic"/>
          <w:sz w:val="20"/>
          <w:szCs w:val="20"/>
          <w:lang w:val="en-GB"/>
        </w:rPr>
        <w:t>Tariff for transmission of gaseous fuels</w:t>
      </w:r>
      <w:r w:rsidR="003B0A20">
        <w:rPr>
          <w:rFonts w:ascii="Century Gothic" w:hAnsi="Century Gothic"/>
          <w:sz w:val="20"/>
          <w:szCs w:val="20"/>
          <w:lang w:val="en-GB"/>
        </w:rPr>
        <w:t>:</w:t>
      </w:r>
    </w:p>
    <w:p w14:paraId="5235297A" w14:textId="76207519" w:rsidR="003B0A20" w:rsidRPr="003B0A20" w:rsidRDefault="00CA609A" w:rsidP="003B0A20">
      <w:pPr>
        <w:pStyle w:val="Akapitzlist"/>
        <w:numPr>
          <w:ilvl w:val="0"/>
          <w:numId w:val="4"/>
        </w:numPr>
        <w:spacing w:before="240" w:line="360" w:lineRule="auto"/>
        <w:jc w:val="both"/>
        <w:rPr>
          <w:rFonts w:ascii="Century Gothic" w:hAnsi="Century Gothic"/>
          <w:b/>
          <w:sz w:val="20"/>
          <w:szCs w:val="20"/>
          <w:lang w:val="en-GB"/>
        </w:rPr>
      </w:pPr>
      <w:r w:rsidRPr="003B0A20">
        <w:rPr>
          <w:rFonts w:ascii="Century Gothic" w:hAnsi="Century Gothic"/>
          <w:sz w:val="20"/>
          <w:szCs w:val="20"/>
          <w:lang w:val="en-GB"/>
        </w:rPr>
        <w:t>No. 1</w:t>
      </w:r>
      <w:r w:rsidR="00265482">
        <w:rPr>
          <w:rFonts w:ascii="Century Gothic" w:hAnsi="Century Gothic"/>
          <w:sz w:val="20"/>
          <w:szCs w:val="20"/>
          <w:lang w:val="en-GB"/>
        </w:rPr>
        <w:t>9</w:t>
      </w:r>
      <w:r w:rsidRPr="003B0A20">
        <w:rPr>
          <w:rFonts w:ascii="Century Gothic" w:hAnsi="Century Gothic"/>
          <w:sz w:val="20"/>
          <w:szCs w:val="20"/>
          <w:lang w:val="en-GB"/>
        </w:rPr>
        <w:t xml:space="preserve"> </w:t>
      </w:r>
      <w:r w:rsidR="00AA35FB" w:rsidRPr="003B0A20">
        <w:rPr>
          <w:rFonts w:ascii="Century Gothic" w:hAnsi="Century Gothic"/>
          <w:sz w:val="20"/>
          <w:szCs w:val="20"/>
          <w:lang w:val="en-GB"/>
        </w:rPr>
        <w:t xml:space="preserve">applicable from </w:t>
      </w:r>
      <w:r w:rsidR="002802D7" w:rsidRPr="003B0A20">
        <w:rPr>
          <w:rFonts w:ascii="Century Gothic" w:hAnsi="Century Gothic"/>
          <w:sz w:val="20"/>
          <w:szCs w:val="20"/>
          <w:lang w:val="en-GB"/>
        </w:rPr>
        <w:t xml:space="preserve">6 a.m., </w:t>
      </w:r>
      <w:r w:rsidR="00AA35FB" w:rsidRPr="003B0A20">
        <w:rPr>
          <w:rFonts w:ascii="Century Gothic" w:hAnsi="Century Gothic"/>
          <w:sz w:val="20"/>
          <w:szCs w:val="20"/>
          <w:lang w:val="en-GB"/>
        </w:rPr>
        <w:t xml:space="preserve">1 January </w:t>
      </w:r>
      <w:r w:rsidR="002802D7" w:rsidRPr="003B0A20">
        <w:rPr>
          <w:rFonts w:ascii="Century Gothic" w:hAnsi="Century Gothic"/>
          <w:sz w:val="20"/>
          <w:szCs w:val="20"/>
          <w:lang w:val="en-GB"/>
        </w:rPr>
        <w:t>202</w:t>
      </w:r>
      <w:r w:rsidR="00265482">
        <w:rPr>
          <w:rFonts w:ascii="Century Gothic" w:hAnsi="Century Gothic"/>
          <w:sz w:val="20"/>
          <w:szCs w:val="20"/>
          <w:lang w:val="en-GB"/>
        </w:rPr>
        <w:t>6</w:t>
      </w:r>
      <w:r w:rsidR="002802D7" w:rsidRPr="003B0A20">
        <w:rPr>
          <w:rFonts w:ascii="Century Gothic" w:hAnsi="Century Gothic"/>
          <w:sz w:val="20"/>
          <w:szCs w:val="20"/>
          <w:lang w:val="en-GB"/>
        </w:rPr>
        <w:t xml:space="preserve"> </w:t>
      </w:r>
      <w:r w:rsidR="00AA35FB" w:rsidRPr="003B0A20">
        <w:rPr>
          <w:rFonts w:ascii="Century Gothic" w:hAnsi="Century Gothic"/>
          <w:sz w:val="20"/>
          <w:szCs w:val="20"/>
          <w:lang w:val="en-GB"/>
        </w:rPr>
        <w:t xml:space="preserve">till </w:t>
      </w:r>
      <w:r w:rsidR="002802D7" w:rsidRPr="003B0A20">
        <w:rPr>
          <w:rFonts w:ascii="Century Gothic" w:hAnsi="Century Gothic"/>
          <w:sz w:val="20"/>
          <w:szCs w:val="20"/>
          <w:lang w:val="en-GB"/>
        </w:rPr>
        <w:t>6 a.m., 1</w:t>
      </w:r>
      <w:r w:rsidR="00AA35FB" w:rsidRPr="003B0A20">
        <w:rPr>
          <w:rFonts w:ascii="Century Gothic" w:hAnsi="Century Gothic"/>
          <w:sz w:val="20"/>
          <w:szCs w:val="20"/>
          <w:lang w:val="en-GB"/>
        </w:rPr>
        <w:t xml:space="preserve"> </w:t>
      </w:r>
      <w:r w:rsidR="002802D7" w:rsidRPr="003B0A20">
        <w:rPr>
          <w:rFonts w:ascii="Century Gothic" w:hAnsi="Century Gothic"/>
          <w:sz w:val="20"/>
          <w:szCs w:val="20"/>
          <w:lang w:val="en-GB"/>
        </w:rPr>
        <w:t xml:space="preserve">January </w:t>
      </w:r>
      <w:r w:rsidR="00F561AE" w:rsidRPr="003B0A20">
        <w:rPr>
          <w:rFonts w:ascii="Century Gothic" w:hAnsi="Century Gothic"/>
          <w:sz w:val="20"/>
          <w:szCs w:val="20"/>
          <w:lang w:val="en-GB"/>
        </w:rPr>
        <w:t>202</w:t>
      </w:r>
      <w:r w:rsidR="00265482">
        <w:rPr>
          <w:rFonts w:ascii="Century Gothic" w:hAnsi="Century Gothic"/>
          <w:sz w:val="20"/>
          <w:szCs w:val="20"/>
          <w:lang w:val="en-GB"/>
        </w:rPr>
        <w:t>7</w:t>
      </w:r>
      <w:r w:rsidR="00F561AE" w:rsidRPr="003B0A20">
        <w:rPr>
          <w:rFonts w:ascii="Century Gothic" w:hAnsi="Century Gothic"/>
          <w:sz w:val="20"/>
          <w:szCs w:val="20"/>
          <w:lang w:val="en-GB"/>
        </w:rPr>
        <w:t xml:space="preserve"> </w:t>
      </w:r>
    </w:p>
    <w:p w14:paraId="374AF7CA" w14:textId="587ED9ED" w:rsidR="003B0A20" w:rsidRPr="003B0A20" w:rsidRDefault="00AA35FB" w:rsidP="003B0A20">
      <w:pPr>
        <w:pStyle w:val="Akapitzlist"/>
        <w:numPr>
          <w:ilvl w:val="0"/>
          <w:numId w:val="4"/>
        </w:numPr>
        <w:spacing w:before="240" w:line="360" w:lineRule="auto"/>
        <w:jc w:val="both"/>
        <w:rPr>
          <w:rFonts w:ascii="Century Gothic" w:hAnsi="Century Gothic"/>
          <w:b/>
          <w:sz w:val="20"/>
          <w:szCs w:val="20"/>
          <w:lang w:val="en-GB"/>
        </w:rPr>
      </w:pPr>
      <w:r w:rsidRPr="003B0A20">
        <w:rPr>
          <w:rFonts w:ascii="Century Gothic" w:hAnsi="Century Gothic"/>
          <w:sz w:val="20"/>
          <w:szCs w:val="20"/>
          <w:lang w:val="en-GB"/>
        </w:rPr>
        <w:t xml:space="preserve">No. </w:t>
      </w:r>
      <w:r w:rsidR="00265482">
        <w:rPr>
          <w:rFonts w:ascii="Century Gothic" w:hAnsi="Century Gothic"/>
          <w:sz w:val="20"/>
          <w:szCs w:val="20"/>
          <w:lang w:val="en-GB"/>
        </w:rPr>
        <w:t>1/2027</w:t>
      </w:r>
      <w:r w:rsidR="00F561AE" w:rsidRPr="003B0A20">
        <w:rPr>
          <w:rFonts w:ascii="Century Gothic" w:hAnsi="Century Gothic"/>
          <w:sz w:val="20"/>
          <w:szCs w:val="20"/>
          <w:lang w:val="en-GB"/>
        </w:rPr>
        <w:t xml:space="preserve"> </w:t>
      </w:r>
      <w:r w:rsidRPr="003B0A20">
        <w:rPr>
          <w:rFonts w:ascii="Century Gothic" w:hAnsi="Century Gothic"/>
          <w:sz w:val="20"/>
          <w:szCs w:val="20"/>
          <w:lang w:val="en-GB"/>
        </w:rPr>
        <w:t xml:space="preserve">applicable from </w:t>
      </w:r>
      <w:r w:rsidR="00CF00EE" w:rsidRPr="003B0A20">
        <w:rPr>
          <w:rFonts w:ascii="Century Gothic" w:hAnsi="Century Gothic"/>
          <w:sz w:val="20"/>
          <w:szCs w:val="20"/>
          <w:lang w:val="en-GB"/>
        </w:rPr>
        <w:t xml:space="preserve">6.00 a.m., </w:t>
      </w:r>
      <w:r w:rsidRPr="003B0A20">
        <w:rPr>
          <w:rFonts w:ascii="Century Gothic" w:hAnsi="Century Gothic"/>
          <w:sz w:val="20"/>
          <w:szCs w:val="20"/>
          <w:lang w:val="en-GB"/>
        </w:rPr>
        <w:t xml:space="preserve">1 January </w:t>
      </w:r>
      <w:r w:rsidR="00CF00EE" w:rsidRPr="003B0A20">
        <w:rPr>
          <w:rFonts w:ascii="Century Gothic" w:hAnsi="Century Gothic"/>
          <w:sz w:val="20"/>
          <w:szCs w:val="20"/>
          <w:lang w:val="en-GB"/>
        </w:rPr>
        <w:t>202</w:t>
      </w:r>
      <w:r w:rsidR="00265482">
        <w:rPr>
          <w:rFonts w:ascii="Century Gothic" w:hAnsi="Century Gothic"/>
          <w:sz w:val="20"/>
          <w:szCs w:val="20"/>
          <w:lang w:val="en-GB"/>
        </w:rPr>
        <w:t>7</w:t>
      </w:r>
      <w:r w:rsidR="00CF00EE" w:rsidRPr="003B0A20">
        <w:rPr>
          <w:rFonts w:ascii="Century Gothic" w:hAnsi="Century Gothic"/>
          <w:sz w:val="20"/>
          <w:szCs w:val="20"/>
          <w:lang w:val="en-GB"/>
        </w:rPr>
        <w:t xml:space="preserve"> </w:t>
      </w:r>
      <w:r w:rsidRPr="003B0A20">
        <w:rPr>
          <w:rFonts w:ascii="Century Gothic" w:hAnsi="Century Gothic"/>
          <w:sz w:val="20"/>
          <w:szCs w:val="20"/>
          <w:lang w:val="en-GB"/>
        </w:rPr>
        <w:t xml:space="preserve">till </w:t>
      </w:r>
      <w:r w:rsidR="00CF00EE" w:rsidRPr="003B0A20">
        <w:rPr>
          <w:rFonts w:ascii="Century Gothic" w:hAnsi="Century Gothic"/>
          <w:sz w:val="20"/>
          <w:szCs w:val="20"/>
          <w:lang w:val="en-GB"/>
        </w:rPr>
        <w:t xml:space="preserve">6 a.m., </w:t>
      </w:r>
      <w:r w:rsidRPr="003B0A20">
        <w:rPr>
          <w:rFonts w:ascii="Century Gothic" w:hAnsi="Century Gothic"/>
          <w:sz w:val="20"/>
          <w:szCs w:val="20"/>
          <w:lang w:val="en-GB"/>
        </w:rPr>
        <w:t xml:space="preserve">1 </w:t>
      </w:r>
      <w:r w:rsidR="00CF00EE" w:rsidRPr="003B0A20">
        <w:rPr>
          <w:rFonts w:ascii="Century Gothic" w:hAnsi="Century Gothic"/>
          <w:sz w:val="20"/>
          <w:szCs w:val="20"/>
          <w:lang w:val="en-GB"/>
        </w:rPr>
        <w:t xml:space="preserve">January </w:t>
      </w:r>
      <w:r w:rsidR="00F561AE" w:rsidRPr="003B0A20">
        <w:rPr>
          <w:rFonts w:ascii="Century Gothic" w:hAnsi="Century Gothic"/>
          <w:sz w:val="20"/>
          <w:szCs w:val="20"/>
          <w:lang w:val="en-GB"/>
        </w:rPr>
        <w:t>202</w:t>
      </w:r>
      <w:r w:rsidR="00265482">
        <w:rPr>
          <w:rFonts w:ascii="Century Gothic" w:hAnsi="Century Gothic"/>
          <w:sz w:val="20"/>
          <w:szCs w:val="20"/>
          <w:lang w:val="en-GB"/>
        </w:rPr>
        <w:t>8</w:t>
      </w:r>
      <w:r w:rsidR="00F561AE" w:rsidRPr="003B0A20">
        <w:rPr>
          <w:rFonts w:ascii="Century Gothic" w:hAnsi="Century Gothic"/>
          <w:sz w:val="20"/>
          <w:szCs w:val="20"/>
          <w:lang w:val="en-GB"/>
        </w:rPr>
        <w:t xml:space="preserve"> </w:t>
      </w:r>
    </w:p>
    <w:p w14:paraId="6CF99FF2" w14:textId="377C5162" w:rsidR="00A277F4" w:rsidRPr="003B0A20" w:rsidRDefault="00AA35FB" w:rsidP="003B0A20">
      <w:pPr>
        <w:spacing w:before="240" w:line="360" w:lineRule="auto"/>
        <w:jc w:val="both"/>
        <w:rPr>
          <w:rFonts w:ascii="Century Gothic" w:hAnsi="Century Gothic"/>
          <w:b/>
          <w:sz w:val="20"/>
          <w:szCs w:val="20"/>
          <w:lang w:val="en-GB"/>
        </w:rPr>
      </w:pPr>
      <w:r w:rsidRPr="003B0A20">
        <w:rPr>
          <w:rFonts w:ascii="Century Gothic" w:hAnsi="Century Gothic"/>
          <w:sz w:val="20"/>
          <w:szCs w:val="20"/>
          <w:lang w:val="en-GB"/>
        </w:rPr>
        <w:t xml:space="preserve">are given in </w:t>
      </w:r>
      <w:r w:rsidRPr="00F911CC">
        <w:rPr>
          <w:rFonts w:ascii="Century Gothic" w:hAnsi="Century Gothic"/>
          <w:bCs/>
          <w:sz w:val="20"/>
          <w:szCs w:val="20"/>
          <w:lang w:val="en-GB"/>
        </w:rPr>
        <w:t>gr/kWh/h</w:t>
      </w:r>
      <w:r w:rsidR="00033F98" w:rsidRPr="00F911CC">
        <w:rPr>
          <w:rFonts w:ascii="Century Gothic" w:hAnsi="Century Gothic"/>
          <w:bCs/>
          <w:sz w:val="20"/>
          <w:szCs w:val="20"/>
          <w:lang w:val="en-GB"/>
        </w:rPr>
        <w:t xml:space="preserve"> per h.</w:t>
      </w:r>
    </w:p>
    <w:p w14:paraId="604917AE" w14:textId="77777777" w:rsidR="00B2240D" w:rsidRDefault="00B2240D">
      <w:pPr>
        <w:rPr>
          <w:rFonts w:ascii="Century Gothic" w:eastAsia="Times New Roman" w:hAnsi="Century Gothic" w:cs="Arial"/>
          <w:sz w:val="20"/>
          <w:szCs w:val="20"/>
          <w:lang w:val="en-GB" w:eastAsia="pl-PL"/>
        </w:rPr>
      </w:pPr>
      <w:r>
        <w:rPr>
          <w:rFonts w:ascii="Century Gothic" w:hAnsi="Century Gothic" w:cs="Arial"/>
          <w:sz w:val="20"/>
          <w:szCs w:val="20"/>
          <w:lang w:val="en-GB"/>
        </w:rPr>
        <w:br w:type="page"/>
      </w:r>
    </w:p>
    <w:p w14:paraId="023FBEB4" w14:textId="554201BA" w:rsidR="001F24E6" w:rsidRPr="00B2240D" w:rsidRDefault="00B33577" w:rsidP="00B33577">
      <w:pPr>
        <w:pStyle w:val="bodytext"/>
        <w:spacing w:line="360" w:lineRule="auto"/>
        <w:jc w:val="both"/>
        <w:rPr>
          <w:rFonts w:ascii="Century Gothic" w:hAnsi="Century Gothic" w:cs="Arial"/>
          <w:sz w:val="20"/>
          <w:szCs w:val="20"/>
          <w:lang w:val="en-GB"/>
        </w:rPr>
      </w:pPr>
      <w:r w:rsidRPr="00B2240D">
        <w:rPr>
          <w:rFonts w:ascii="Century Gothic" w:hAnsi="Century Gothic" w:cs="Arial"/>
          <w:sz w:val="20"/>
          <w:szCs w:val="20"/>
          <w:lang w:val="en-GB"/>
        </w:rPr>
        <w:lastRenderedPageBreak/>
        <w:t xml:space="preserve">The </w:t>
      </w:r>
      <w:r w:rsidR="00672DDA" w:rsidRPr="00B2240D">
        <w:rPr>
          <w:rFonts w:ascii="Century Gothic" w:hAnsi="Century Gothic" w:cs="Arial"/>
          <w:sz w:val="20"/>
          <w:szCs w:val="20"/>
          <w:lang w:val="en-GB"/>
        </w:rPr>
        <w:t>below presented</w:t>
      </w:r>
      <w:r w:rsidRPr="00B2240D">
        <w:rPr>
          <w:rFonts w:ascii="Century Gothic" w:hAnsi="Century Gothic" w:cs="Arial"/>
          <w:sz w:val="20"/>
          <w:szCs w:val="20"/>
          <w:lang w:val="en-GB"/>
        </w:rPr>
        <w:t xml:space="preserve"> reserve prices are net prices. </w:t>
      </w:r>
      <w:r w:rsidR="00672DDA" w:rsidRPr="00B2240D">
        <w:rPr>
          <w:rFonts w:ascii="Century Gothic" w:hAnsi="Century Gothic" w:cs="Arial"/>
          <w:sz w:val="20"/>
          <w:szCs w:val="20"/>
          <w:lang w:val="en-GB"/>
        </w:rPr>
        <w:t>The given</w:t>
      </w:r>
      <w:r w:rsidRPr="00B2240D">
        <w:rPr>
          <w:rFonts w:ascii="Century Gothic" w:hAnsi="Century Gothic" w:cs="Arial"/>
          <w:sz w:val="20"/>
          <w:szCs w:val="20"/>
          <w:lang w:val="en-GB"/>
        </w:rPr>
        <w:t xml:space="preserve"> prices shall be increased by the value-added tax (VAT), at the applicable under the relevant tax regulations.</w:t>
      </w:r>
    </w:p>
    <w:p w14:paraId="02AA1A5E" w14:textId="6CCAB407" w:rsidR="00ED0BB8" w:rsidRPr="00117411" w:rsidRDefault="00B34CEF" w:rsidP="001F24E6">
      <w:pPr>
        <w:rPr>
          <w:rFonts w:ascii="Century Gothic" w:hAnsi="Century Gothic"/>
          <w:i/>
          <w:sz w:val="16"/>
          <w:szCs w:val="16"/>
          <w:lang w:val="en-US"/>
        </w:rPr>
      </w:pPr>
      <w:r w:rsidRPr="00B34CEF">
        <w:rPr>
          <w:noProof/>
        </w:rPr>
        <w:drawing>
          <wp:inline distT="0" distB="0" distL="0" distR="0" wp14:anchorId="35F3F316" wp14:editId="6DF603D8">
            <wp:extent cx="5760720" cy="3898900"/>
            <wp:effectExtent l="0" t="0" r="0" b="6350"/>
            <wp:docPr id="197354916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3898900"/>
                    </a:xfrm>
                    <a:prstGeom prst="rect">
                      <a:avLst/>
                    </a:prstGeom>
                    <a:noFill/>
                    <a:ln>
                      <a:noFill/>
                    </a:ln>
                  </pic:spPr>
                </pic:pic>
              </a:graphicData>
            </a:graphic>
          </wp:inline>
        </w:drawing>
      </w:r>
    </w:p>
    <w:p w14:paraId="6DCD8FCA" w14:textId="1E77E711" w:rsidR="001F24E6" w:rsidRPr="009624F5" w:rsidRDefault="001F24E6" w:rsidP="001F24E6">
      <w:pPr>
        <w:rPr>
          <w:rFonts w:ascii="Century Gothic" w:hAnsi="Century Gothic"/>
          <w:i/>
          <w:sz w:val="16"/>
          <w:szCs w:val="16"/>
          <w:lang w:val="en-GB"/>
        </w:rPr>
      </w:pPr>
      <w:r w:rsidRPr="009624F5">
        <w:rPr>
          <w:rFonts w:ascii="Century Gothic" w:hAnsi="Century Gothic"/>
          <w:i/>
          <w:sz w:val="16"/>
          <w:szCs w:val="16"/>
          <w:lang w:val="en-GB"/>
        </w:rPr>
        <w:t xml:space="preserve">* According to Tariff No </w:t>
      </w:r>
      <w:r w:rsidR="0084369D" w:rsidRPr="009624F5">
        <w:rPr>
          <w:rFonts w:ascii="Century Gothic" w:hAnsi="Century Gothic"/>
          <w:i/>
          <w:sz w:val="16"/>
          <w:szCs w:val="16"/>
          <w:lang w:val="en-GB"/>
        </w:rPr>
        <w:t>1</w:t>
      </w:r>
      <w:r w:rsidR="00265482">
        <w:rPr>
          <w:rFonts w:ascii="Century Gothic" w:hAnsi="Century Gothic"/>
          <w:i/>
          <w:sz w:val="16"/>
          <w:szCs w:val="16"/>
          <w:lang w:val="en-GB"/>
        </w:rPr>
        <w:t>9</w:t>
      </w:r>
      <w:r w:rsidR="0084369D" w:rsidRPr="009624F5">
        <w:rPr>
          <w:rFonts w:ascii="Century Gothic" w:hAnsi="Century Gothic"/>
          <w:i/>
          <w:sz w:val="16"/>
          <w:szCs w:val="16"/>
          <w:lang w:val="en-GB"/>
        </w:rPr>
        <w:t xml:space="preserve"> </w:t>
      </w:r>
      <w:r w:rsidR="00F561AE">
        <w:rPr>
          <w:rFonts w:ascii="Century Gothic" w:hAnsi="Century Gothic"/>
          <w:i/>
          <w:sz w:val="16"/>
          <w:szCs w:val="16"/>
          <w:lang w:val="en-GB"/>
        </w:rPr>
        <w:t>for</w:t>
      </w:r>
      <w:r w:rsidR="00F561AE" w:rsidRPr="009624F5">
        <w:rPr>
          <w:rFonts w:ascii="Century Gothic" w:hAnsi="Century Gothic"/>
          <w:i/>
          <w:sz w:val="16"/>
          <w:szCs w:val="16"/>
          <w:lang w:val="en-GB"/>
        </w:rPr>
        <w:t xml:space="preserve"> transmission</w:t>
      </w:r>
      <w:r w:rsidR="00F561AE">
        <w:rPr>
          <w:rFonts w:ascii="Century Gothic" w:hAnsi="Century Gothic"/>
          <w:i/>
          <w:sz w:val="16"/>
          <w:szCs w:val="16"/>
          <w:lang w:val="en-GB"/>
        </w:rPr>
        <w:t xml:space="preserve"> of gaseous fuels </w:t>
      </w:r>
    </w:p>
    <w:p w14:paraId="02122422" w14:textId="470EF89F" w:rsidR="001F24E6" w:rsidRPr="009624F5" w:rsidRDefault="001F24E6" w:rsidP="001F24E6">
      <w:pPr>
        <w:rPr>
          <w:rFonts w:ascii="Century Gothic" w:hAnsi="Century Gothic"/>
          <w:i/>
          <w:sz w:val="16"/>
          <w:szCs w:val="16"/>
          <w:lang w:val="en-GB"/>
        </w:rPr>
      </w:pPr>
      <w:r w:rsidRPr="009624F5">
        <w:rPr>
          <w:rFonts w:ascii="Century Gothic" w:hAnsi="Century Gothic"/>
          <w:i/>
          <w:sz w:val="16"/>
          <w:szCs w:val="16"/>
          <w:lang w:val="en-GB"/>
        </w:rPr>
        <w:t xml:space="preserve">** According to Tariff No </w:t>
      </w:r>
      <w:r w:rsidR="00265482">
        <w:rPr>
          <w:rFonts w:ascii="Century Gothic" w:hAnsi="Century Gothic"/>
          <w:i/>
          <w:sz w:val="16"/>
          <w:szCs w:val="16"/>
          <w:lang w:val="en-GB"/>
        </w:rPr>
        <w:t>1/2027</w:t>
      </w:r>
      <w:r w:rsidR="0084369D" w:rsidRPr="009624F5">
        <w:rPr>
          <w:rFonts w:ascii="Century Gothic" w:hAnsi="Century Gothic"/>
          <w:i/>
          <w:sz w:val="16"/>
          <w:szCs w:val="16"/>
          <w:lang w:val="en-GB"/>
        </w:rPr>
        <w:t xml:space="preserve"> </w:t>
      </w:r>
      <w:r w:rsidR="00301B42">
        <w:rPr>
          <w:rFonts w:ascii="Century Gothic" w:hAnsi="Century Gothic"/>
          <w:i/>
          <w:sz w:val="16"/>
          <w:szCs w:val="16"/>
          <w:lang w:val="en-GB"/>
        </w:rPr>
        <w:t>for</w:t>
      </w:r>
      <w:r w:rsidRPr="009624F5">
        <w:rPr>
          <w:rFonts w:ascii="Century Gothic" w:hAnsi="Century Gothic"/>
          <w:i/>
          <w:sz w:val="16"/>
          <w:szCs w:val="16"/>
          <w:lang w:val="en-GB"/>
        </w:rPr>
        <w:t xml:space="preserve"> transmission</w:t>
      </w:r>
      <w:r w:rsidR="00301B42">
        <w:rPr>
          <w:rFonts w:ascii="Century Gothic" w:hAnsi="Century Gothic"/>
          <w:i/>
          <w:sz w:val="16"/>
          <w:szCs w:val="16"/>
          <w:lang w:val="en-GB"/>
        </w:rPr>
        <w:t xml:space="preserve"> of gaseous fuels</w:t>
      </w:r>
      <w:r w:rsidR="006F6CB6">
        <w:rPr>
          <w:rFonts w:ascii="Century Gothic" w:hAnsi="Century Gothic"/>
          <w:i/>
          <w:sz w:val="16"/>
          <w:szCs w:val="16"/>
          <w:lang w:val="en-GB"/>
        </w:rPr>
        <w:t xml:space="preserve"> </w:t>
      </w:r>
    </w:p>
    <w:p w14:paraId="3F79FB0E" w14:textId="65B2957C" w:rsidR="007A2F1C" w:rsidRPr="00117411" w:rsidRDefault="007A2F1C" w:rsidP="00117411">
      <w:pPr>
        <w:rPr>
          <w:rFonts w:ascii="Century Gothic" w:hAnsi="Century Gothic"/>
          <w:i/>
          <w:sz w:val="16"/>
          <w:szCs w:val="16"/>
          <w:lang w:val="en-GB"/>
        </w:rPr>
      </w:pPr>
    </w:p>
    <w:p w14:paraId="1735D162" w14:textId="532E4836" w:rsidR="006B322F" w:rsidRPr="00672DDA" w:rsidRDefault="001F24E6" w:rsidP="008C6DC5">
      <w:pPr>
        <w:pStyle w:val="Akapitzlist"/>
        <w:numPr>
          <w:ilvl w:val="0"/>
          <w:numId w:val="1"/>
        </w:numPr>
        <w:spacing w:line="360" w:lineRule="auto"/>
        <w:ind w:left="284" w:hanging="284"/>
        <w:rPr>
          <w:lang w:val="en-GB"/>
        </w:rPr>
      </w:pPr>
      <w:r w:rsidRPr="00817C46">
        <w:rPr>
          <w:rFonts w:ascii="Century Gothic" w:hAnsi="Century Gothic"/>
          <w:b/>
          <w:sz w:val="20"/>
          <w:szCs w:val="20"/>
          <w:lang w:val="en-GB"/>
        </w:rPr>
        <w:t>Multipliers and seasonal facto</w:t>
      </w:r>
      <w:r>
        <w:rPr>
          <w:rFonts w:ascii="Century Gothic" w:hAnsi="Century Gothic"/>
          <w:b/>
          <w:sz w:val="20"/>
          <w:szCs w:val="20"/>
          <w:lang w:val="en-GB"/>
        </w:rPr>
        <w:t xml:space="preserve">rs </w:t>
      </w:r>
      <w:r w:rsidRPr="00817C46">
        <w:rPr>
          <w:rFonts w:ascii="Century Gothic" w:hAnsi="Century Gothic"/>
          <w:b/>
          <w:sz w:val="20"/>
          <w:szCs w:val="20"/>
          <w:lang w:val="en-GB"/>
        </w:rPr>
        <w:t>(</w:t>
      </w:r>
      <w:r>
        <w:rPr>
          <w:rFonts w:ascii="Century Gothic" w:hAnsi="Century Gothic"/>
          <w:b/>
          <w:sz w:val="20"/>
          <w:szCs w:val="20"/>
          <w:lang w:val="en-GB"/>
        </w:rPr>
        <w:t>A</w:t>
      </w:r>
      <w:r w:rsidRPr="00817C46">
        <w:rPr>
          <w:rFonts w:ascii="Century Gothic" w:hAnsi="Century Gothic"/>
          <w:b/>
          <w:sz w:val="20"/>
          <w:szCs w:val="20"/>
          <w:lang w:val="en-GB"/>
        </w:rPr>
        <w:t>rt</w:t>
      </w:r>
      <w:r>
        <w:rPr>
          <w:rFonts w:ascii="Century Gothic" w:hAnsi="Century Gothic"/>
          <w:b/>
          <w:sz w:val="20"/>
          <w:szCs w:val="20"/>
          <w:lang w:val="en-GB"/>
        </w:rPr>
        <w:t xml:space="preserve">icle </w:t>
      </w:r>
      <w:r w:rsidRPr="00817C46">
        <w:rPr>
          <w:rFonts w:ascii="Century Gothic" w:hAnsi="Century Gothic"/>
          <w:b/>
          <w:sz w:val="20"/>
          <w:szCs w:val="20"/>
          <w:lang w:val="en-GB"/>
        </w:rPr>
        <w:t xml:space="preserve">29 </w:t>
      </w:r>
      <w:r>
        <w:rPr>
          <w:rFonts w:ascii="Century Gothic" w:hAnsi="Century Gothic"/>
          <w:b/>
          <w:sz w:val="20"/>
          <w:szCs w:val="20"/>
          <w:lang w:val="en-GB"/>
        </w:rPr>
        <w:t>(</w:t>
      </w:r>
      <w:r w:rsidRPr="00817C46">
        <w:rPr>
          <w:rFonts w:ascii="Century Gothic" w:hAnsi="Century Gothic"/>
          <w:b/>
          <w:sz w:val="20"/>
          <w:szCs w:val="20"/>
          <w:lang w:val="en-GB"/>
        </w:rPr>
        <w:t xml:space="preserve">a) (ii) </w:t>
      </w:r>
      <w:r>
        <w:rPr>
          <w:rFonts w:ascii="Century Gothic" w:hAnsi="Century Gothic"/>
          <w:b/>
          <w:sz w:val="20"/>
          <w:szCs w:val="20"/>
          <w:lang w:val="en-GB"/>
        </w:rPr>
        <w:t xml:space="preserve">of the TAR </w:t>
      </w:r>
      <w:r w:rsidRPr="00817C46">
        <w:rPr>
          <w:rFonts w:ascii="Century Gothic" w:hAnsi="Century Gothic"/>
          <w:b/>
          <w:sz w:val="20"/>
          <w:szCs w:val="20"/>
          <w:lang w:val="en-GB"/>
        </w:rPr>
        <w:t>NC)</w:t>
      </w:r>
    </w:p>
    <w:p w14:paraId="44965D35" w14:textId="7CEE412E" w:rsidR="00117411" w:rsidRDefault="0002670B" w:rsidP="00ED4441">
      <w:pPr>
        <w:autoSpaceDE w:val="0"/>
        <w:autoSpaceDN w:val="0"/>
        <w:adjustRightInd w:val="0"/>
        <w:spacing w:after="0" w:line="360" w:lineRule="auto"/>
        <w:jc w:val="both"/>
        <w:rPr>
          <w:rFonts w:ascii="Century Gothic" w:hAnsi="Century Gothic"/>
          <w:sz w:val="20"/>
          <w:szCs w:val="20"/>
          <w:lang w:val="en-GB"/>
        </w:rPr>
      </w:pPr>
      <w:bookmarkStart w:id="0" w:name="_Hlk168059469"/>
      <w:r w:rsidRPr="00ED4441">
        <w:rPr>
          <w:rFonts w:ascii="Century Gothic" w:hAnsi="Century Gothic"/>
          <w:sz w:val="20"/>
          <w:szCs w:val="20"/>
          <w:lang w:val="en-GB"/>
        </w:rPr>
        <w:t xml:space="preserve">In accordance with the </w:t>
      </w:r>
      <w:r w:rsidR="00B130EB" w:rsidRPr="00B130EB">
        <w:rPr>
          <w:rFonts w:ascii="Century Gothic" w:hAnsi="Century Gothic"/>
          <w:sz w:val="20"/>
          <w:szCs w:val="20"/>
          <w:lang w:val="en-GB"/>
        </w:rPr>
        <w:t xml:space="preserve">Communiqué </w:t>
      </w:r>
      <w:r w:rsidR="00ED4441" w:rsidRPr="00B130EB">
        <w:rPr>
          <w:rFonts w:ascii="Century Gothic" w:hAnsi="Century Gothic"/>
          <w:sz w:val="20"/>
          <w:szCs w:val="20"/>
          <w:lang w:val="en-GB"/>
        </w:rPr>
        <w:t>of the</w:t>
      </w:r>
      <w:r w:rsidR="00ED4441" w:rsidRPr="00ED4441">
        <w:rPr>
          <w:rFonts w:ascii="Century Gothic" w:hAnsi="Century Gothic"/>
          <w:sz w:val="20"/>
          <w:szCs w:val="20"/>
          <w:lang w:val="en-GB"/>
        </w:rPr>
        <w:t xml:space="preserve"> President of Energy Regulatory Office No</w:t>
      </w:r>
      <w:r w:rsidR="000D5D8F">
        <w:rPr>
          <w:rFonts w:ascii="Century Gothic" w:hAnsi="Century Gothic"/>
          <w:sz w:val="20"/>
          <w:szCs w:val="20"/>
          <w:lang w:val="en-GB"/>
        </w:rPr>
        <w:t>.</w:t>
      </w:r>
      <w:r w:rsidR="00ED4441" w:rsidRPr="00ED4441">
        <w:rPr>
          <w:rFonts w:ascii="Century Gothic" w:hAnsi="Century Gothic"/>
          <w:sz w:val="20"/>
          <w:szCs w:val="20"/>
          <w:lang w:val="en-GB"/>
        </w:rPr>
        <w:t xml:space="preserve"> </w:t>
      </w:r>
      <w:r w:rsidR="009625E7">
        <w:rPr>
          <w:rFonts w:ascii="Century Gothic" w:hAnsi="Century Gothic"/>
          <w:sz w:val="20"/>
          <w:szCs w:val="20"/>
          <w:lang w:val="en-GB"/>
        </w:rPr>
        <w:t>9</w:t>
      </w:r>
      <w:r w:rsidR="00ED4441" w:rsidRPr="00ED4441">
        <w:rPr>
          <w:rFonts w:ascii="Century Gothic" w:hAnsi="Century Gothic"/>
          <w:sz w:val="20"/>
          <w:szCs w:val="20"/>
          <w:lang w:val="en-GB"/>
        </w:rPr>
        <w:t>/</w:t>
      </w:r>
      <w:r w:rsidR="00F561AE" w:rsidRPr="00ED4441">
        <w:rPr>
          <w:rFonts w:ascii="Century Gothic" w:hAnsi="Century Gothic"/>
          <w:sz w:val="20"/>
          <w:szCs w:val="20"/>
          <w:lang w:val="en-GB"/>
        </w:rPr>
        <w:t>202</w:t>
      </w:r>
      <w:r w:rsidR="00265482">
        <w:rPr>
          <w:rFonts w:ascii="Century Gothic" w:hAnsi="Century Gothic"/>
          <w:sz w:val="20"/>
          <w:szCs w:val="20"/>
          <w:lang w:val="en-GB"/>
        </w:rPr>
        <w:t>5</w:t>
      </w:r>
      <w:r w:rsidR="00F561AE">
        <w:rPr>
          <w:rFonts w:ascii="Century Gothic" w:hAnsi="Century Gothic"/>
          <w:sz w:val="20"/>
          <w:szCs w:val="20"/>
          <w:lang w:val="en-GB"/>
        </w:rPr>
        <w:t xml:space="preserve"> </w:t>
      </w:r>
      <w:r w:rsidR="00ED4441" w:rsidRPr="00ED4441">
        <w:rPr>
          <w:rFonts w:ascii="Century Gothic" w:hAnsi="Century Gothic"/>
          <w:sz w:val="20"/>
          <w:szCs w:val="20"/>
          <w:lang w:val="en-GB"/>
        </w:rPr>
        <w:t>concerning multipliers, seasonal factors and discounts, referred to in Article 28(1)(a) to (c) of</w:t>
      </w:r>
      <w:r w:rsidR="00B2240D">
        <w:rPr>
          <w:rFonts w:ascii="Century Gothic" w:hAnsi="Century Gothic"/>
          <w:sz w:val="20"/>
          <w:szCs w:val="20"/>
          <w:lang w:val="en-GB"/>
        </w:rPr>
        <w:t> </w:t>
      </w:r>
      <w:r w:rsidR="00ED4441" w:rsidRPr="00ED4441">
        <w:rPr>
          <w:rFonts w:ascii="Century Gothic" w:hAnsi="Century Gothic"/>
          <w:sz w:val="20"/>
          <w:szCs w:val="20"/>
          <w:lang w:val="en-GB"/>
        </w:rPr>
        <w:t xml:space="preserve">the Tariff Code, to be taken into account in the calculation of tariffs for gaseous fuels transmission services for the period from 1 January </w:t>
      </w:r>
      <w:r w:rsidR="00B30DEC" w:rsidRPr="00ED4441">
        <w:rPr>
          <w:rFonts w:ascii="Century Gothic" w:hAnsi="Century Gothic"/>
          <w:sz w:val="20"/>
          <w:szCs w:val="20"/>
          <w:lang w:val="en-GB"/>
        </w:rPr>
        <w:t>202</w:t>
      </w:r>
      <w:r w:rsidR="00265482">
        <w:rPr>
          <w:rFonts w:ascii="Century Gothic" w:hAnsi="Century Gothic"/>
          <w:sz w:val="20"/>
          <w:szCs w:val="20"/>
          <w:lang w:val="en-GB"/>
        </w:rPr>
        <w:t>6</w:t>
      </w:r>
      <w:r w:rsidR="00B30DEC" w:rsidRPr="00ED4441">
        <w:rPr>
          <w:rFonts w:ascii="Century Gothic" w:hAnsi="Century Gothic"/>
          <w:sz w:val="20"/>
          <w:szCs w:val="20"/>
          <w:lang w:val="en-GB"/>
        </w:rPr>
        <w:t xml:space="preserve"> </w:t>
      </w:r>
      <w:r w:rsidR="00ED4441" w:rsidRPr="00ED4441">
        <w:rPr>
          <w:rFonts w:ascii="Century Gothic" w:hAnsi="Century Gothic"/>
          <w:sz w:val="20"/>
          <w:szCs w:val="20"/>
          <w:lang w:val="en-GB"/>
        </w:rPr>
        <w:t xml:space="preserve">to 31 December </w:t>
      </w:r>
      <w:r w:rsidR="00B30DEC" w:rsidRPr="00ED4441">
        <w:rPr>
          <w:rFonts w:ascii="Century Gothic" w:hAnsi="Century Gothic"/>
          <w:sz w:val="20"/>
          <w:szCs w:val="20"/>
          <w:lang w:val="en-GB"/>
        </w:rPr>
        <w:t>202</w:t>
      </w:r>
      <w:r w:rsidR="00265482">
        <w:rPr>
          <w:rFonts w:ascii="Century Gothic" w:hAnsi="Century Gothic"/>
          <w:sz w:val="20"/>
          <w:szCs w:val="20"/>
          <w:lang w:val="en-GB"/>
        </w:rPr>
        <w:t>6</w:t>
      </w:r>
      <w:r w:rsidR="00B30DEC" w:rsidRPr="00ED4441">
        <w:rPr>
          <w:rFonts w:ascii="Century Gothic" w:hAnsi="Century Gothic"/>
          <w:sz w:val="20"/>
          <w:szCs w:val="20"/>
          <w:lang w:val="en-GB"/>
        </w:rPr>
        <w:t xml:space="preserve"> </w:t>
      </w:r>
    </w:p>
    <w:p w14:paraId="72CA70EF" w14:textId="02DADBBB" w:rsidR="00A85B5C" w:rsidRPr="00442BD2" w:rsidRDefault="0002670B" w:rsidP="00ED4441">
      <w:pPr>
        <w:autoSpaceDE w:val="0"/>
        <w:autoSpaceDN w:val="0"/>
        <w:adjustRightInd w:val="0"/>
        <w:spacing w:after="0" w:line="360" w:lineRule="auto"/>
        <w:jc w:val="both"/>
        <w:rPr>
          <w:rFonts w:ascii="Century Gothic" w:hAnsi="Century Gothic"/>
          <w:sz w:val="20"/>
          <w:szCs w:val="20"/>
          <w:lang w:val="en-US"/>
        </w:rPr>
      </w:pPr>
      <w:r w:rsidRPr="002D2E8F">
        <w:rPr>
          <w:rFonts w:ascii="Century Gothic" w:hAnsi="Century Gothic"/>
          <w:sz w:val="20"/>
          <w:szCs w:val="20"/>
          <w:lang w:val="en-GB"/>
        </w:rPr>
        <w:t>(</w:t>
      </w:r>
      <w:bookmarkEnd w:id="0"/>
      <w:r w:rsidR="00265482" w:rsidRPr="009625E7">
        <w:rPr>
          <w:rStyle w:val="Hipercze"/>
          <w:rFonts w:ascii="Century Gothic" w:hAnsi="Century Gothic"/>
          <w:sz w:val="20"/>
          <w:szCs w:val="20"/>
          <w:lang w:val="en-US"/>
        </w:rPr>
        <w:t>https://www.ure.gov.pl/pl/urzad/informacje-ogolne/komunikaty-prezesa-ure/12493,Informacja-nr-92025.html</w:t>
      </w:r>
      <w:r w:rsidR="00442BD2">
        <w:rPr>
          <w:rFonts w:ascii="Century Gothic" w:hAnsi="Century Gothic"/>
          <w:sz w:val="20"/>
          <w:szCs w:val="20"/>
          <w:lang w:val="en-US"/>
        </w:rPr>
        <w:t xml:space="preserve">) </w:t>
      </w:r>
      <w:r w:rsidR="00105251" w:rsidRPr="002D2E8F">
        <w:rPr>
          <w:rFonts w:ascii="Century Gothic" w:hAnsi="Century Gothic"/>
          <w:sz w:val="20"/>
          <w:szCs w:val="20"/>
          <w:lang w:val="en-GB"/>
        </w:rPr>
        <w:t xml:space="preserve">the following </w:t>
      </w:r>
      <w:r w:rsidR="00F32CEF">
        <w:rPr>
          <w:rFonts w:ascii="Century Gothic" w:hAnsi="Century Gothic"/>
          <w:sz w:val="20"/>
          <w:szCs w:val="20"/>
          <w:lang w:val="en-GB"/>
        </w:rPr>
        <w:t>multipliers</w:t>
      </w:r>
      <w:r w:rsidR="00D659E3">
        <w:rPr>
          <w:rFonts w:ascii="Century Gothic" w:hAnsi="Century Gothic"/>
          <w:sz w:val="20"/>
          <w:szCs w:val="20"/>
          <w:lang w:val="en-GB"/>
        </w:rPr>
        <w:t xml:space="preserve"> </w:t>
      </w:r>
      <w:r w:rsidR="00105251" w:rsidRPr="002D2E8F">
        <w:rPr>
          <w:rFonts w:ascii="Century Gothic" w:hAnsi="Century Gothic"/>
          <w:sz w:val="20"/>
          <w:szCs w:val="20"/>
          <w:lang w:val="en-GB"/>
        </w:rPr>
        <w:t xml:space="preserve">for short-term products </w:t>
      </w:r>
      <w:r w:rsidR="006F6CB6" w:rsidRPr="002D2E8F">
        <w:rPr>
          <w:rFonts w:ascii="Century Gothic" w:hAnsi="Century Gothic"/>
          <w:sz w:val="20"/>
          <w:szCs w:val="20"/>
          <w:lang w:val="en-GB"/>
        </w:rPr>
        <w:t>are</w:t>
      </w:r>
      <w:r w:rsidR="00105251" w:rsidRPr="002D2E8F">
        <w:rPr>
          <w:rFonts w:ascii="Century Gothic" w:hAnsi="Century Gothic"/>
          <w:sz w:val="20"/>
          <w:szCs w:val="20"/>
          <w:lang w:val="en-GB"/>
        </w:rPr>
        <w:t xml:space="preserve"> applied from </w:t>
      </w:r>
      <w:r w:rsidR="006852A6" w:rsidRPr="002D2E8F">
        <w:rPr>
          <w:rFonts w:ascii="Century Gothic" w:hAnsi="Century Gothic"/>
          <w:sz w:val="20"/>
          <w:szCs w:val="20"/>
          <w:lang w:val="en-GB"/>
        </w:rPr>
        <w:t>6</w:t>
      </w:r>
      <w:r w:rsidR="00964EA1" w:rsidRPr="002D2E8F">
        <w:rPr>
          <w:rFonts w:ascii="Century Gothic" w:hAnsi="Century Gothic"/>
          <w:sz w:val="20"/>
          <w:szCs w:val="20"/>
          <w:lang w:val="en-GB"/>
        </w:rPr>
        <w:t> </w:t>
      </w:r>
      <w:r w:rsidR="006852A6" w:rsidRPr="002D2E8F">
        <w:rPr>
          <w:rFonts w:ascii="Century Gothic" w:hAnsi="Century Gothic"/>
          <w:sz w:val="20"/>
          <w:szCs w:val="20"/>
          <w:lang w:val="en-GB"/>
        </w:rPr>
        <w:t>a.m,</w:t>
      </w:r>
      <w:r w:rsidR="00105251" w:rsidRPr="002D2E8F">
        <w:rPr>
          <w:rFonts w:ascii="Century Gothic" w:hAnsi="Century Gothic"/>
          <w:sz w:val="20"/>
          <w:szCs w:val="20"/>
          <w:lang w:val="en-GB"/>
        </w:rPr>
        <w:t xml:space="preserve">1 </w:t>
      </w:r>
      <w:r w:rsidR="006852A6" w:rsidRPr="002D2E8F">
        <w:rPr>
          <w:rFonts w:ascii="Century Gothic" w:hAnsi="Century Gothic"/>
          <w:sz w:val="20"/>
          <w:szCs w:val="20"/>
          <w:lang w:val="en-GB"/>
        </w:rPr>
        <w:t>January 202</w:t>
      </w:r>
      <w:r w:rsidR="00265482">
        <w:rPr>
          <w:rFonts w:ascii="Century Gothic" w:hAnsi="Century Gothic"/>
          <w:sz w:val="20"/>
          <w:szCs w:val="20"/>
          <w:lang w:val="en-GB"/>
        </w:rPr>
        <w:t>6</w:t>
      </w:r>
      <w:r w:rsidR="006852A6" w:rsidRPr="002D2E8F">
        <w:rPr>
          <w:rFonts w:ascii="Century Gothic" w:hAnsi="Century Gothic"/>
          <w:sz w:val="20"/>
          <w:szCs w:val="20"/>
          <w:lang w:val="en-GB"/>
        </w:rPr>
        <w:t xml:space="preserve"> </w:t>
      </w:r>
      <w:r w:rsidR="00105251" w:rsidRPr="002D2E8F">
        <w:rPr>
          <w:rFonts w:ascii="Century Gothic" w:hAnsi="Century Gothic"/>
          <w:sz w:val="20"/>
          <w:szCs w:val="20"/>
          <w:lang w:val="en-GB"/>
        </w:rPr>
        <w:t>till</w:t>
      </w:r>
      <w:r w:rsidR="00105251" w:rsidRPr="00ED4441">
        <w:rPr>
          <w:rFonts w:ascii="Century Gothic" w:hAnsi="Century Gothic"/>
          <w:sz w:val="20"/>
          <w:szCs w:val="20"/>
          <w:lang w:val="en-GB"/>
        </w:rPr>
        <w:t xml:space="preserve"> </w:t>
      </w:r>
      <w:r w:rsidR="006852A6">
        <w:rPr>
          <w:rFonts w:ascii="Century Gothic" w:hAnsi="Century Gothic"/>
          <w:sz w:val="20"/>
          <w:szCs w:val="20"/>
          <w:lang w:val="en-GB"/>
        </w:rPr>
        <w:t xml:space="preserve">6 a.m., </w:t>
      </w:r>
      <w:r w:rsidR="00105251" w:rsidRPr="00ED4441">
        <w:rPr>
          <w:rFonts w:ascii="Century Gothic" w:hAnsi="Century Gothic"/>
          <w:sz w:val="20"/>
          <w:szCs w:val="20"/>
          <w:lang w:val="en-GB"/>
        </w:rPr>
        <w:t xml:space="preserve">1 </w:t>
      </w:r>
      <w:r w:rsidR="006852A6">
        <w:rPr>
          <w:rFonts w:ascii="Century Gothic" w:hAnsi="Century Gothic"/>
          <w:sz w:val="20"/>
          <w:szCs w:val="20"/>
          <w:lang w:val="en-GB"/>
        </w:rPr>
        <w:t>January</w:t>
      </w:r>
      <w:r w:rsidR="006852A6" w:rsidRPr="00ED4441">
        <w:rPr>
          <w:rFonts w:ascii="Century Gothic" w:hAnsi="Century Gothic"/>
          <w:sz w:val="20"/>
          <w:szCs w:val="20"/>
          <w:lang w:val="en-GB"/>
        </w:rPr>
        <w:t xml:space="preserve"> </w:t>
      </w:r>
      <w:r w:rsidR="00F561AE" w:rsidRPr="00ED4441">
        <w:rPr>
          <w:rFonts w:ascii="Century Gothic" w:hAnsi="Century Gothic"/>
          <w:sz w:val="20"/>
          <w:szCs w:val="20"/>
          <w:lang w:val="en-GB"/>
        </w:rPr>
        <w:t>202</w:t>
      </w:r>
      <w:r w:rsidR="00265482">
        <w:rPr>
          <w:rFonts w:ascii="Century Gothic" w:hAnsi="Century Gothic"/>
          <w:sz w:val="20"/>
          <w:szCs w:val="20"/>
          <w:lang w:val="en-GB"/>
        </w:rPr>
        <w:t>7</w:t>
      </w:r>
      <w:r w:rsidR="00105251" w:rsidRPr="00ED4441">
        <w:rPr>
          <w:rFonts w:ascii="Century Gothic" w:hAnsi="Century Gothic"/>
          <w:sz w:val="20"/>
          <w:szCs w:val="20"/>
          <w:lang w:val="en-GB"/>
        </w:rPr>
        <w:t xml:space="preserve">. </w:t>
      </w:r>
    </w:p>
    <w:p w14:paraId="609FB938" w14:textId="77777777" w:rsidR="00A85B5C" w:rsidRDefault="00A85B5C" w:rsidP="00ED4441">
      <w:pPr>
        <w:autoSpaceDE w:val="0"/>
        <w:autoSpaceDN w:val="0"/>
        <w:adjustRightInd w:val="0"/>
        <w:spacing w:after="0" w:line="360" w:lineRule="auto"/>
        <w:jc w:val="both"/>
        <w:rPr>
          <w:rFonts w:ascii="Century Gothic" w:hAnsi="Century Gothic"/>
          <w:sz w:val="20"/>
          <w:szCs w:val="20"/>
          <w:lang w:val="en-GB"/>
        </w:rPr>
      </w:pPr>
    </w:p>
    <w:p w14:paraId="559379FA" w14:textId="69057C50" w:rsidR="006F783C" w:rsidRPr="005807F6" w:rsidRDefault="00C56CAF" w:rsidP="00C56CAF">
      <w:pPr>
        <w:spacing w:before="240" w:line="360" w:lineRule="auto"/>
        <w:rPr>
          <w:rFonts w:ascii="Century Gothic" w:hAnsi="Century Gothic"/>
          <w:sz w:val="20"/>
          <w:szCs w:val="20"/>
          <w:lang w:val="en-GB"/>
        </w:rPr>
      </w:pPr>
      <w:r w:rsidRPr="00C56CAF">
        <w:rPr>
          <w:noProof/>
        </w:rPr>
        <w:drawing>
          <wp:inline distT="0" distB="0" distL="0" distR="0" wp14:anchorId="19510FB2" wp14:editId="6D72D294">
            <wp:extent cx="5634427" cy="431698"/>
            <wp:effectExtent l="0" t="0" r="0" b="6985"/>
            <wp:docPr id="4450994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8265" cy="439654"/>
                    </a:xfrm>
                    <a:prstGeom prst="rect">
                      <a:avLst/>
                    </a:prstGeom>
                    <a:noFill/>
                    <a:ln>
                      <a:noFill/>
                    </a:ln>
                  </pic:spPr>
                </pic:pic>
              </a:graphicData>
            </a:graphic>
          </wp:inline>
        </w:drawing>
      </w:r>
    </w:p>
    <w:p w14:paraId="3356FE7F" w14:textId="4C6B3B61" w:rsidR="007C3ADE" w:rsidRPr="008C6DC5" w:rsidRDefault="007C3ADE" w:rsidP="009624F5">
      <w:pPr>
        <w:spacing w:line="360" w:lineRule="auto"/>
        <w:jc w:val="both"/>
        <w:rPr>
          <w:rFonts w:ascii="Century Gothic" w:hAnsi="Century Gothic"/>
          <w:sz w:val="20"/>
          <w:szCs w:val="20"/>
          <w:lang w:val="en-GB"/>
        </w:rPr>
      </w:pPr>
      <w:r w:rsidRPr="008C6DC5">
        <w:rPr>
          <w:rFonts w:ascii="Century Gothic" w:hAnsi="Century Gothic"/>
          <w:sz w:val="20"/>
          <w:szCs w:val="20"/>
          <w:lang w:val="en-GB"/>
        </w:rPr>
        <w:lastRenderedPageBreak/>
        <w:t xml:space="preserve">Based on the </w:t>
      </w:r>
      <w:bookmarkStart w:id="1" w:name="_Hlk168059508"/>
      <w:r w:rsidR="00AD62E6" w:rsidRPr="00ED4441">
        <w:rPr>
          <w:rFonts w:ascii="Century Gothic" w:hAnsi="Century Gothic"/>
          <w:sz w:val="20"/>
          <w:szCs w:val="20"/>
          <w:lang w:val="en-GB"/>
        </w:rPr>
        <w:t>Communiqué</w:t>
      </w:r>
      <w:r w:rsidRPr="009624F5">
        <w:rPr>
          <w:rFonts w:ascii="Century Gothic" w:hAnsi="Century Gothic"/>
          <w:sz w:val="20"/>
          <w:szCs w:val="20"/>
          <w:lang w:val="en-GB"/>
        </w:rPr>
        <w:t xml:space="preserve"> of the President of the Energy Regulatory Office No</w:t>
      </w:r>
      <w:r w:rsidR="000D5D8F">
        <w:rPr>
          <w:rFonts w:ascii="Century Gothic" w:hAnsi="Century Gothic"/>
          <w:sz w:val="20"/>
          <w:szCs w:val="20"/>
          <w:lang w:val="en-GB"/>
        </w:rPr>
        <w:t>.</w:t>
      </w:r>
      <w:r w:rsidRPr="009624F5">
        <w:rPr>
          <w:rFonts w:ascii="Century Gothic" w:hAnsi="Century Gothic"/>
          <w:sz w:val="20"/>
          <w:szCs w:val="20"/>
          <w:lang w:val="en-GB"/>
        </w:rPr>
        <w:t xml:space="preserve"> </w:t>
      </w:r>
      <w:r w:rsidR="00516CF0">
        <w:rPr>
          <w:rFonts w:ascii="Century Gothic" w:hAnsi="Century Gothic"/>
          <w:sz w:val="20"/>
          <w:szCs w:val="20"/>
          <w:lang w:val="en-GB"/>
        </w:rPr>
        <w:t>17/2026</w:t>
      </w:r>
      <w:r w:rsidR="00F561AE" w:rsidRPr="008C6DC5">
        <w:rPr>
          <w:rFonts w:ascii="Century Gothic" w:hAnsi="Century Gothic"/>
          <w:sz w:val="20"/>
          <w:szCs w:val="20"/>
          <w:lang w:val="en-GB"/>
        </w:rPr>
        <w:t xml:space="preserve"> </w:t>
      </w:r>
      <w:r w:rsidRPr="008C6DC5">
        <w:rPr>
          <w:rFonts w:ascii="Century Gothic" w:hAnsi="Century Gothic"/>
          <w:sz w:val="20"/>
          <w:szCs w:val="20"/>
          <w:lang w:val="en-GB"/>
        </w:rPr>
        <w:t xml:space="preserve">regarding the level of the multipliers, seasonal factors and discounts referred to in article 28 (1) (a) to (c)of the TAR NC, to be taken into account in the calculation of tariffs for gaseous fuels transmission services for the period from </w:t>
      </w:r>
      <w:r w:rsidR="00A97AF1">
        <w:rPr>
          <w:rFonts w:ascii="Century Gothic" w:hAnsi="Century Gothic"/>
          <w:sz w:val="20"/>
          <w:szCs w:val="20"/>
          <w:lang w:val="en-GB"/>
        </w:rPr>
        <w:t xml:space="preserve">6 a.m., </w:t>
      </w:r>
      <w:r w:rsidRPr="008C6DC5">
        <w:rPr>
          <w:rFonts w:ascii="Century Gothic" w:hAnsi="Century Gothic"/>
          <w:sz w:val="20"/>
          <w:szCs w:val="20"/>
          <w:lang w:val="en-GB"/>
        </w:rPr>
        <w:t xml:space="preserve">1 January </w:t>
      </w:r>
      <w:r w:rsidR="00F561AE" w:rsidRPr="009624F5">
        <w:rPr>
          <w:rFonts w:ascii="Century Gothic" w:hAnsi="Century Gothic"/>
          <w:sz w:val="20"/>
          <w:szCs w:val="20"/>
          <w:lang w:val="en-GB"/>
        </w:rPr>
        <w:t>202</w:t>
      </w:r>
      <w:r w:rsidR="009625E7">
        <w:rPr>
          <w:rFonts w:ascii="Century Gothic" w:hAnsi="Century Gothic"/>
          <w:sz w:val="20"/>
          <w:szCs w:val="20"/>
          <w:lang w:val="en-GB"/>
        </w:rPr>
        <w:t>7</w:t>
      </w:r>
      <w:r w:rsidR="00F561AE" w:rsidRPr="009624F5">
        <w:rPr>
          <w:rFonts w:ascii="Century Gothic" w:hAnsi="Century Gothic"/>
          <w:sz w:val="20"/>
          <w:szCs w:val="20"/>
          <w:lang w:val="en-GB"/>
        </w:rPr>
        <w:t xml:space="preserve"> </w:t>
      </w:r>
      <w:r w:rsidRPr="008C6DC5">
        <w:rPr>
          <w:rFonts w:ascii="Century Gothic" w:hAnsi="Century Gothic"/>
          <w:sz w:val="20"/>
          <w:szCs w:val="20"/>
          <w:lang w:val="en-GB"/>
        </w:rPr>
        <w:t xml:space="preserve">to </w:t>
      </w:r>
      <w:r w:rsidR="00A97AF1">
        <w:rPr>
          <w:rFonts w:ascii="Century Gothic" w:hAnsi="Century Gothic"/>
          <w:sz w:val="20"/>
          <w:szCs w:val="20"/>
          <w:lang w:val="en-GB"/>
        </w:rPr>
        <w:t xml:space="preserve">6 a.m., </w:t>
      </w:r>
      <w:r w:rsidRPr="008C6DC5">
        <w:rPr>
          <w:rFonts w:ascii="Century Gothic" w:hAnsi="Century Gothic"/>
          <w:sz w:val="20"/>
          <w:szCs w:val="20"/>
          <w:lang w:val="en-GB"/>
        </w:rPr>
        <w:t xml:space="preserve">1 </w:t>
      </w:r>
      <w:r w:rsidR="00A97AF1">
        <w:rPr>
          <w:rFonts w:ascii="Century Gothic" w:hAnsi="Century Gothic"/>
          <w:sz w:val="20"/>
          <w:szCs w:val="20"/>
          <w:lang w:val="en-GB"/>
        </w:rPr>
        <w:t>January</w:t>
      </w:r>
      <w:r w:rsidR="00A97AF1" w:rsidRPr="008C6DC5">
        <w:rPr>
          <w:rFonts w:ascii="Century Gothic" w:hAnsi="Century Gothic"/>
          <w:sz w:val="20"/>
          <w:szCs w:val="20"/>
          <w:lang w:val="en-GB"/>
        </w:rPr>
        <w:t xml:space="preserve"> </w:t>
      </w:r>
      <w:r w:rsidR="00F561AE" w:rsidRPr="009624F5">
        <w:rPr>
          <w:rFonts w:ascii="Century Gothic" w:hAnsi="Century Gothic"/>
          <w:sz w:val="20"/>
          <w:szCs w:val="20"/>
          <w:lang w:val="en-GB"/>
        </w:rPr>
        <w:t>202</w:t>
      </w:r>
      <w:r w:rsidR="009625E7">
        <w:rPr>
          <w:rFonts w:ascii="Century Gothic" w:hAnsi="Century Gothic"/>
          <w:sz w:val="20"/>
          <w:szCs w:val="20"/>
          <w:lang w:val="en-GB"/>
        </w:rPr>
        <w:t>8</w:t>
      </w:r>
      <w:r w:rsidR="00F561AE" w:rsidRPr="009624F5">
        <w:rPr>
          <w:rFonts w:ascii="Century Gothic" w:hAnsi="Century Gothic"/>
          <w:sz w:val="20"/>
          <w:szCs w:val="20"/>
          <w:lang w:val="en-GB"/>
        </w:rPr>
        <w:t xml:space="preserve"> </w:t>
      </w:r>
      <w:r w:rsidRPr="008C6DC5">
        <w:rPr>
          <w:rFonts w:ascii="Century Gothic" w:hAnsi="Century Gothic"/>
          <w:sz w:val="20"/>
          <w:szCs w:val="20"/>
          <w:lang w:val="en-US"/>
        </w:rPr>
        <w:t>(</w:t>
      </w:r>
      <w:bookmarkStart w:id="2" w:name="_Hlk167894613"/>
      <w:bookmarkEnd w:id="1"/>
      <w:r w:rsidR="00060014">
        <w:rPr>
          <w:rFonts w:ascii="Century Gothic" w:hAnsi="Century Gothic"/>
          <w:sz w:val="20"/>
          <w:szCs w:val="20"/>
        </w:rPr>
        <w:fldChar w:fldCharType="begin"/>
      </w:r>
      <w:r w:rsidR="00060014" w:rsidRPr="00060014">
        <w:rPr>
          <w:rFonts w:ascii="Century Gothic" w:hAnsi="Century Gothic"/>
          <w:sz w:val="20"/>
          <w:szCs w:val="20"/>
          <w:lang w:val="en-US"/>
        </w:rPr>
        <w:instrText>HYPERLINK "https://www.ure.gov.pl/pl/urzad/informacje-ogolne/komunikaty-prezesa-ure/13190,Informacja-172026.html"</w:instrText>
      </w:r>
      <w:r w:rsidR="00060014">
        <w:rPr>
          <w:rFonts w:ascii="Century Gothic" w:hAnsi="Century Gothic"/>
          <w:sz w:val="20"/>
          <w:szCs w:val="20"/>
        </w:rPr>
      </w:r>
      <w:r w:rsidR="00060014">
        <w:rPr>
          <w:rFonts w:ascii="Century Gothic" w:hAnsi="Century Gothic"/>
          <w:sz w:val="20"/>
          <w:szCs w:val="20"/>
        </w:rPr>
        <w:fldChar w:fldCharType="separate"/>
      </w:r>
      <w:r w:rsidR="00060014" w:rsidRPr="00060014">
        <w:rPr>
          <w:rStyle w:val="Hipercze"/>
          <w:rFonts w:ascii="Century Gothic" w:hAnsi="Century Gothic"/>
          <w:sz w:val="20"/>
          <w:szCs w:val="20"/>
          <w:lang w:val="en-US"/>
        </w:rPr>
        <w:t>https://www.ure.gov.pl/pl/urzad/informacje-ogolne/komunikaty-prezesa-ure/12493,Informacja-nr-92025.html</w:t>
      </w:r>
      <w:bookmarkEnd w:id="2"/>
      <w:r w:rsidR="00060014">
        <w:rPr>
          <w:rFonts w:ascii="Century Gothic" w:hAnsi="Century Gothic"/>
          <w:sz w:val="20"/>
          <w:szCs w:val="20"/>
        </w:rPr>
        <w:fldChar w:fldCharType="end"/>
      </w:r>
      <w:r w:rsidR="00117411">
        <w:rPr>
          <w:rFonts w:ascii="Century Gothic" w:hAnsi="Century Gothic"/>
          <w:sz w:val="20"/>
          <w:szCs w:val="20"/>
          <w:lang w:val="en-US"/>
        </w:rPr>
        <w:t xml:space="preserve">) </w:t>
      </w:r>
      <w:r w:rsidRPr="008C6DC5">
        <w:rPr>
          <w:rFonts w:ascii="Century Gothic" w:hAnsi="Century Gothic"/>
          <w:sz w:val="20"/>
          <w:szCs w:val="20"/>
          <w:lang w:val="en-GB"/>
        </w:rPr>
        <w:t xml:space="preserve">GAZ-SYSTEM uses the following </w:t>
      </w:r>
      <w:r w:rsidR="00C30B3B" w:rsidRPr="00C30B3B">
        <w:rPr>
          <w:rFonts w:ascii="Century Gothic" w:hAnsi="Century Gothic"/>
          <w:sz w:val="20"/>
          <w:szCs w:val="20"/>
          <w:lang w:val="en-GB"/>
        </w:rPr>
        <w:t>multipliers</w:t>
      </w:r>
      <w:r w:rsidR="00C30B3B">
        <w:rPr>
          <w:rFonts w:ascii="Century Gothic" w:hAnsi="Century Gothic"/>
          <w:sz w:val="20"/>
          <w:szCs w:val="20"/>
          <w:lang w:val="en-GB"/>
        </w:rPr>
        <w:t xml:space="preserve"> </w:t>
      </w:r>
      <w:r w:rsidRPr="008C6DC5">
        <w:rPr>
          <w:rFonts w:ascii="Century Gothic" w:hAnsi="Century Gothic"/>
          <w:sz w:val="20"/>
          <w:szCs w:val="20"/>
          <w:lang w:val="en-GB"/>
        </w:rPr>
        <w:t xml:space="preserve">to determine fixed fee rates for short-term services from </w:t>
      </w:r>
      <w:r w:rsidR="000F0172">
        <w:rPr>
          <w:rFonts w:ascii="Century Gothic" w:hAnsi="Century Gothic"/>
          <w:sz w:val="20"/>
          <w:szCs w:val="20"/>
          <w:lang w:val="en-GB"/>
        </w:rPr>
        <w:t xml:space="preserve">6 a.m., </w:t>
      </w:r>
      <w:r w:rsidRPr="008C6DC5">
        <w:rPr>
          <w:rFonts w:ascii="Century Gothic" w:hAnsi="Century Gothic"/>
          <w:sz w:val="20"/>
          <w:szCs w:val="20"/>
          <w:lang w:val="en-GB"/>
        </w:rPr>
        <w:t>1</w:t>
      </w:r>
      <w:r w:rsidR="009D6CD5">
        <w:rPr>
          <w:rFonts w:ascii="Century Gothic" w:hAnsi="Century Gothic"/>
          <w:sz w:val="20"/>
          <w:szCs w:val="20"/>
          <w:lang w:val="en-GB"/>
        </w:rPr>
        <w:t> </w:t>
      </w:r>
      <w:r w:rsidRPr="008C6DC5">
        <w:rPr>
          <w:rFonts w:ascii="Century Gothic" w:hAnsi="Century Gothic"/>
          <w:sz w:val="20"/>
          <w:szCs w:val="20"/>
          <w:lang w:val="en-GB"/>
        </w:rPr>
        <w:t xml:space="preserve">January </w:t>
      </w:r>
      <w:r w:rsidR="000F0172">
        <w:rPr>
          <w:rFonts w:ascii="Century Gothic" w:hAnsi="Century Gothic"/>
          <w:sz w:val="20"/>
          <w:szCs w:val="20"/>
          <w:lang w:val="en-GB"/>
        </w:rPr>
        <w:t>202</w:t>
      </w:r>
      <w:r w:rsidR="00516CF0">
        <w:rPr>
          <w:rFonts w:ascii="Century Gothic" w:hAnsi="Century Gothic"/>
          <w:sz w:val="20"/>
          <w:szCs w:val="20"/>
          <w:lang w:val="en-GB"/>
        </w:rPr>
        <w:t>7</w:t>
      </w:r>
      <w:r w:rsidR="000F0172">
        <w:rPr>
          <w:rFonts w:ascii="Century Gothic" w:hAnsi="Century Gothic"/>
          <w:sz w:val="20"/>
          <w:szCs w:val="20"/>
          <w:lang w:val="en-GB"/>
        </w:rPr>
        <w:t xml:space="preserve"> </w:t>
      </w:r>
      <w:r w:rsidRPr="008C6DC5">
        <w:rPr>
          <w:rFonts w:ascii="Century Gothic" w:hAnsi="Century Gothic"/>
          <w:sz w:val="20"/>
          <w:szCs w:val="20"/>
          <w:lang w:val="en-GB"/>
        </w:rPr>
        <w:t xml:space="preserve">till </w:t>
      </w:r>
      <w:r w:rsidR="000F0172">
        <w:rPr>
          <w:rFonts w:ascii="Century Gothic" w:hAnsi="Century Gothic"/>
          <w:sz w:val="20"/>
          <w:szCs w:val="20"/>
          <w:lang w:val="en-GB"/>
        </w:rPr>
        <w:t xml:space="preserve">6 a.m., </w:t>
      </w:r>
      <w:r w:rsidR="00826F38">
        <w:rPr>
          <w:rFonts w:ascii="Century Gothic" w:hAnsi="Century Gothic"/>
          <w:sz w:val="20"/>
          <w:szCs w:val="20"/>
          <w:lang w:val="en-GB"/>
        </w:rPr>
        <w:t>1</w:t>
      </w:r>
      <w:r w:rsidR="00CE2DC1" w:rsidRPr="008C6DC5">
        <w:rPr>
          <w:rFonts w:ascii="Century Gothic" w:hAnsi="Century Gothic"/>
          <w:sz w:val="20"/>
          <w:szCs w:val="20"/>
          <w:lang w:val="en-GB"/>
        </w:rPr>
        <w:t xml:space="preserve"> </w:t>
      </w:r>
      <w:r w:rsidR="000F0172">
        <w:rPr>
          <w:rFonts w:ascii="Century Gothic" w:hAnsi="Century Gothic"/>
          <w:sz w:val="20"/>
          <w:szCs w:val="20"/>
          <w:lang w:val="en-GB"/>
        </w:rPr>
        <w:t>January</w:t>
      </w:r>
      <w:r w:rsidR="000F0172" w:rsidRPr="008C6DC5">
        <w:rPr>
          <w:rFonts w:ascii="Century Gothic" w:hAnsi="Century Gothic"/>
          <w:sz w:val="20"/>
          <w:szCs w:val="20"/>
          <w:lang w:val="en-GB"/>
        </w:rPr>
        <w:t xml:space="preserve"> </w:t>
      </w:r>
      <w:r w:rsidR="00F561AE" w:rsidRPr="008C6DC5">
        <w:rPr>
          <w:rFonts w:ascii="Century Gothic" w:hAnsi="Century Gothic"/>
          <w:sz w:val="20"/>
          <w:szCs w:val="20"/>
          <w:lang w:val="en-GB"/>
        </w:rPr>
        <w:t>202</w:t>
      </w:r>
      <w:r w:rsidR="00516CF0">
        <w:rPr>
          <w:rFonts w:ascii="Century Gothic" w:hAnsi="Century Gothic"/>
          <w:sz w:val="20"/>
          <w:szCs w:val="20"/>
          <w:lang w:val="en-GB"/>
        </w:rPr>
        <w:t>8</w:t>
      </w:r>
      <w:r w:rsidRPr="008C6DC5">
        <w:rPr>
          <w:rFonts w:ascii="Century Gothic" w:hAnsi="Century Gothic"/>
          <w:sz w:val="20"/>
          <w:szCs w:val="20"/>
          <w:lang w:val="en-GB"/>
        </w:rPr>
        <w:t xml:space="preserve">, rounded to </w:t>
      </w:r>
      <w:r w:rsidR="009624F5">
        <w:rPr>
          <w:rFonts w:ascii="Century Gothic" w:hAnsi="Century Gothic"/>
          <w:sz w:val="20"/>
          <w:szCs w:val="20"/>
          <w:lang w:val="en-GB"/>
        </w:rPr>
        <w:t>second</w:t>
      </w:r>
      <w:r w:rsidR="009624F5" w:rsidRPr="008C6DC5">
        <w:rPr>
          <w:rFonts w:ascii="Century Gothic" w:hAnsi="Century Gothic"/>
          <w:sz w:val="20"/>
          <w:szCs w:val="20"/>
          <w:lang w:val="en-GB"/>
        </w:rPr>
        <w:t xml:space="preserve"> </w:t>
      </w:r>
      <w:r w:rsidRPr="008C6DC5">
        <w:rPr>
          <w:rFonts w:ascii="Century Gothic" w:hAnsi="Century Gothic"/>
          <w:sz w:val="20"/>
          <w:szCs w:val="20"/>
          <w:lang w:val="en-GB"/>
        </w:rPr>
        <w:t>decimal place.</w:t>
      </w:r>
    </w:p>
    <w:p w14:paraId="481DF163" w14:textId="2639D875" w:rsidR="00117411" w:rsidRPr="0063380F" w:rsidRDefault="00C56CAF" w:rsidP="0063380F">
      <w:pPr>
        <w:pStyle w:val="Akapitzlist"/>
        <w:spacing w:before="240" w:line="360" w:lineRule="auto"/>
        <w:ind w:left="0"/>
        <w:contextualSpacing w:val="0"/>
        <w:jc w:val="both"/>
        <w:rPr>
          <w:rFonts w:ascii="Cambria" w:hAnsi="Cambria"/>
          <w:sz w:val="20"/>
          <w:szCs w:val="20"/>
        </w:rPr>
      </w:pPr>
      <w:r w:rsidRPr="00C56CAF">
        <w:rPr>
          <w:noProof/>
        </w:rPr>
        <w:drawing>
          <wp:inline distT="0" distB="0" distL="0" distR="0" wp14:anchorId="047AE9D6" wp14:editId="0FCEA717">
            <wp:extent cx="5654694" cy="433251"/>
            <wp:effectExtent l="0" t="0" r="3175" b="5080"/>
            <wp:docPr id="668160308"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65673" cy="449416"/>
                    </a:xfrm>
                    <a:prstGeom prst="rect">
                      <a:avLst/>
                    </a:prstGeom>
                    <a:noFill/>
                    <a:ln>
                      <a:noFill/>
                    </a:ln>
                  </pic:spPr>
                </pic:pic>
              </a:graphicData>
            </a:graphic>
          </wp:inline>
        </w:drawing>
      </w:r>
    </w:p>
    <w:p w14:paraId="0C3AAFFE" w14:textId="77777777" w:rsidR="00117411" w:rsidRDefault="00117411" w:rsidP="006B322F">
      <w:pPr>
        <w:pStyle w:val="Akapitzlist"/>
        <w:spacing w:line="360" w:lineRule="auto"/>
        <w:ind w:left="284"/>
        <w:jc w:val="both"/>
        <w:rPr>
          <w:rFonts w:ascii="Cambria" w:hAnsi="Cambria"/>
          <w:sz w:val="20"/>
          <w:szCs w:val="20"/>
          <w:lang w:val="en-GB"/>
        </w:rPr>
      </w:pPr>
    </w:p>
    <w:p w14:paraId="4D30CB3B" w14:textId="77777777" w:rsidR="006B322F" w:rsidRPr="00105251" w:rsidRDefault="00105251" w:rsidP="00936760">
      <w:pPr>
        <w:pStyle w:val="Akapitzlist"/>
        <w:numPr>
          <w:ilvl w:val="0"/>
          <w:numId w:val="1"/>
        </w:numPr>
        <w:spacing w:line="360" w:lineRule="auto"/>
        <w:ind w:left="284" w:hanging="284"/>
        <w:jc w:val="both"/>
        <w:rPr>
          <w:rFonts w:ascii="Century Gothic" w:hAnsi="Century Gothic"/>
          <w:b/>
          <w:sz w:val="20"/>
          <w:szCs w:val="20"/>
          <w:lang w:val="en-GB"/>
        </w:rPr>
      </w:pPr>
      <w:r w:rsidRPr="00105251">
        <w:rPr>
          <w:rFonts w:ascii="Century Gothic" w:hAnsi="Century Gothic"/>
          <w:b/>
          <w:sz w:val="20"/>
          <w:szCs w:val="20"/>
          <w:lang w:val="en-GB"/>
        </w:rPr>
        <w:t xml:space="preserve">The </w:t>
      </w:r>
      <w:r>
        <w:rPr>
          <w:rFonts w:ascii="Century Gothic" w:hAnsi="Century Gothic"/>
          <w:b/>
          <w:sz w:val="20"/>
          <w:szCs w:val="20"/>
          <w:lang w:val="en-GB"/>
        </w:rPr>
        <w:t>justification of the President of Energy regulatory office for the level of multipliers</w:t>
      </w:r>
      <w:r w:rsidR="006B322F" w:rsidRPr="00105251">
        <w:rPr>
          <w:rFonts w:ascii="Century Gothic" w:hAnsi="Century Gothic"/>
          <w:b/>
          <w:sz w:val="20"/>
          <w:szCs w:val="20"/>
          <w:lang w:val="en-GB"/>
        </w:rPr>
        <w:t xml:space="preserve"> (art</w:t>
      </w:r>
      <w:r>
        <w:rPr>
          <w:rFonts w:ascii="Century Gothic" w:hAnsi="Century Gothic"/>
          <w:b/>
          <w:sz w:val="20"/>
          <w:szCs w:val="20"/>
          <w:lang w:val="en-GB"/>
        </w:rPr>
        <w:t>icle 2</w:t>
      </w:r>
      <w:r w:rsidR="006B322F" w:rsidRPr="00105251">
        <w:rPr>
          <w:rFonts w:ascii="Century Gothic" w:hAnsi="Century Gothic"/>
          <w:b/>
          <w:sz w:val="20"/>
          <w:szCs w:val="20"/>
          <w:lang w:val="en-GB"/>
        </w:rPr>
        <w:t xml:space="preserve">9 </w:t>
      </w:r>
      <w:r>
        <w:rPr>
          <w:rFonts w:ascii="Century Gothic" w:hAnsi="Century Gothic"/>
          <w:b/>
          <w:sz w:val="20"/>
          <w:szCs w:val="20"/>
          <w:lang w:val="en-GB"/>
        </w:rPr>
        <w:t>(</w:t>
      </w:r>
      <w:r w:rsidR="006B322F" w:rsidRPr="00105251">
        <w:rPr>
          <w:rFonts w:ascii="Century Gothic" w:hAnsi="Century Gothic"/>
          <w:b/>
          <w:sz w:val="20"/>
          <w:szCs w:val="20"/>
          <w:lang w:val="en-GB"/>
        </w:rPr>
        <w:t>a) (iii)</w:t>
      </w:r>
      <w:r>
        <w:rPr>
          <w:rFonts w:ascii="Century Gothic" w:hAnsi="Century Gothic"/>
          <w:b/>
          <w:sz w:val="20"/>
          <w:szCs w:val="20"/>
          <w:lang w:val="en-GB"/>
        </w:rPr>
        <w:t xml:space="preserve"> of the TAR</w:t>
      </w:r>
      <w:r w:rsidR="006B322F" w:rsidRPr="00105251">
        <w:rPr>
          <w:rFonts w:ascii="Century Gothic" w:hAnsi="Century Gothic"/>
          <w:b/>
          <w:sz w:val="20"/>
          <w:szCs w:val="20"/>
          <w:lang w:val="en-GB"/>
        </w:rPr>
        <w:t xml:space="preserve"> NC).</w:t>
      </w:r>
    </w:p>
    <w:p w14:paraId="5D36B085" w14:textId="4BB298BA" w:rsidR="00EF0FD5" w:rsidRDefault="0002670B" w:rsidP="0007216F">
      <w:pPr>
        <w:spacing w:before="120" w:after="120" w:line="360" w:lineRule="auto"/>
        <w:jc w:val="both"/>
        <w:rPr>
          <w:rFonts w:ascii="Century Gothic" w:hAnsi="Century Gothic"/>
          <w:sz w:val="20"/>
          <w:szCs w:val="20"/>
          <w:lang w:val="en-GB"/>
        </w:rPr>
      </w:pPr>
      <w:r w:rsidRPr="00AF7427">
        <w:rPr>
          <w:rFonts w:ascii="Century Gothic" w:hAnsi="Century Gothic"/>
          <w:sz w:val="20"/>
          <w:szCs w:val="20"/>
          <w:lang w:val="en-GB"/>
        </w:rPr>
        <w:t xml:space="preserve">In accordance with </w:t>
      </w:r>
      <w:r w:rsidR="00EA1198" w:rsidRPr="00ED4441">
        <w:rPr>
          <w:rFonts w:ascii="Century Gothic" w:hAnsi="Century Gothic"/>
          <w:sz w:val="20"/>
          <w:szCs w:val="20"/>
          <w:lang w:val="en-GB"/>
        </w:rPr>
        <w:t xml:space="preserve">the </w:t>
      </w:r>
      <w:r w:rsidR="00AD62E6" w:rsidRPr="00ED4441">
        <w:rPr>
          <w:rFonts w:ascii="Century Gothic" w:hAnsi="Century Gothic"/>
          <w:sz w:val="20"/>
          <w:szCs w:val="20"/>
          <w:lang w:val="en-GB"/>
        </w:rPr>
        <w:t>Communiqué</w:t>
      </w:r>
      <w:r w:rsidR="000D5D8F" w:rsidRPr="00ED4441">
        <w:rPr>
          <w:rFonts w:ascii="Century Gothic" w:hAnsi="Century Gothic"/>
          <w:sz w:val="20"/>
          <w:szCs w:val="20"/>
          <w:lang w:val="en-GB"/>
        </w:rPr>
        <w:t xml:space="preserve"> </w:t>
      </w:r>
      <w:r w:rsidR="00EA1198" w:rsidRPr="00ED4441">
        <w:rPr>
          <w:rFonts w:ascii="Century Gothic" w:hAnsi="Century Gothic"/>
          <w:sz w:val="20"/>
          <w:szCs w:val="20"/>
          <w:lang w:val="en-GB"/>
        </w:rPr>
        <w:t>of the President of Energy Regulatory Office No</w:t>
      </w:r>
      <w:r w:rsidR="000D5D8F">
        <w:rPr>
          <w:rFonts w:ascii="Century Gothic" w:hAnsi="Century Gothic"/>
          <w:sz w:val="20"/>
          <w:szCs w:val="20"/>
          <w:lang w:val="en-GB"/>
        </w:rPr>
        <w:t>.</w:t>
      </w:r>
      <w:r w:rsidR="00EA1198" w:rsidRPr="00ED4441">
        <w:rPr>
          <w:rFonts w:ascii="Century Gothic" w:hAnsi="Century Gothic"/>
          <w:sz w:val="20"/>
          <w:szCs w:val="20"/>
          <w:lang w:val="en-GB"/>
        </w:rPr>
        <w:t xml:space="preserve"> </w:t>
      </w:r>
      <w:r w:rsidR="007F57E6">
        <w:rPr>
          <w:rFonts w:ascii="Century Gothic" w:hAnsi="Century Gothic"/>
          <w:sz w:val="20"/>
          <w:szCs w:val="20"/>
          <w:lang w:val="en-GB"/>
        </w:rPr>
        <w:t>17</w:t>
      </w:r>
      <w:r w:rsidR="00EA1198" w:rsidRPr="00ED4441">
        <w:rPr>
          <w:rFonts w:ascii="Century Gothic" w:hAnsi="Century Gothic"/>
          <w:sz w:val="20"/>
          <w:szCs w:val="20"/>
          <w:lang w:val="en-GB"/>
        </w:rPr>
        <w:t>/</w:t>
      </w:r>
      <w:r w:rsidR="00F561AE" w:rsidRPr="00ED4441">
        <w:rPr>
          <w:rFonts w:ascii="Century Gothic" w:hAnsi="Century Gothic"/>
          <w:sz w:val="20"/>
          <w:szCs w:val="20"/>
          <w:lang w:val="en-GB"/>
        </w:rPr>
        <w:t>202</w:t>
      </w:r>
      <w:r w:rsidR="007F57E6">
        <w:rPr>
          <w:rFonts w:ascii="Century Gothic" w:hAnsi="Century Gothic"/>
          <w:sz w:val="20"/>
          <w:szCs w:val="20"/>
          <w:lang w:val="en-GB"/>
        </w:rPr>
        <w:t>6</w:t>
      </w:r>
      <w:r w:rsidR="00F561AE" w:rsidRPr="00ED4441">
        <w:rPr>
          <w:rFonts w:ascii="Century Gothic" w:hAnsi="Century Gothic"/>
          <w:sz w:val="20"/>
          <w:szCs w:val="20"/>
          <w:lang w:val="en-GB"/>
        </w:rPr>
        <w:t xml:space="preserve"> </w:t>
      </w:r>
      <w:r w:rsidR="00EA1198" w:rsidRPr="00ED4441">
        <w:rPr>
          <w:rFonts w:ascii="Century Gothic" w:hAnsi="Century Gothic"/>
          <w:sz w:val="20"/>
          <w:szCs w:val="20"/>
          <w:lang w:val="en-GB"/>
        </w:rPr>
        <w:t>concerning multipliers, seasonal factors and discounts, referred to in Article 28(1)(a) to (c) of</w:t>
      </w:r>
      <w:r w:rsidR="003B0A20">
        <w:rPr>
          <w:rFonts w:ascii="Century Gothic" w:hAnsi="Century Gothic"/>
          <w:sz w:val="20"/>
          <w:szCs w:val="20"/>
          <w:lang w:val="en-GB"/>
        </w:rPr>
        <w:t> </w:t>
      </w:r>
      <w:r w:rsidR="00EA1198" w:rsidRPr="00ED4441">
        <w:rPr>
          <w:rFonts w:ascii="Century Gothic" w:hAnsi="Century Gothic"/>
          <w:sz w:val="20"/>
          <w:szCs w:val="20"/>
          <w:lang w:val="en-GB"/>
        </w:rPr>
        <w:t xml:space="preserve">the Tariff Code, to be taken into account in the calculation of tariffs for gaseous fuels transmission services for the period from </w:t>
      </w:r>
      <w:r w:rsidR="009D653A">
        <w:rPr>
          <w:rFonts w:ascii="Century Gothic" w:hAnsi="Century Gothic"/>
          <w:sz w:val="20"/>
          <w:szCs w:val="20"/>
          <w:lang w:val="en-GB"/>
        </w:rPr>
        <w:t xml:space="preserve">6 a.m., </w:t>
      </w:r>
      <w:r w:rsidR="00EA1198" w:rsidRPr="00ED4441">
        <w:rPr>
          <w:rFonts w:ascii="Century Gothic" w:hAnsi="Century Gothic"/>
          <w:sz w:val="20"/>
          <w:szCs w:val="20"/>
          <w:lang w:val="en-GB"/>
        </w:rPr>
        <w:t xml:space="preserve">1 January </w:t>
      </w:r>
      <w:r w:rsidR="00F561AE" w:rsidRPr="00ED4441">
        <w:rPr>
          <w:rFonts w:ascii="Century Gothic" w:hAnsi="Century Gothic"/>
          <w:sz w:val="20"/>
          <w:szCs w:val="20"/>
          <w:lang w:val="en-GB"/>
        </w:rPr>
        <w:t>202</w:t>
      </w:r>
      <w:r w:rsidR="007F57E6">
        <w:rPr>
          <w:rFonts w:ascii="Century Gothic" w:hAnsi="Century Gothic"/>
          <w:sz w:val="20"/>
          <w:szCs w:val="20"/>
          <w:lang w:val="en-GB"/>
        </w:rPr>
        <w:t>7</w:t>
      </w:r>
      <w:r w:rsidR="00F561AE" w:rsidRPr="00ED4441">
        <w:rPr>
          <w:rFonts w:ascii="Century Gothic" w:hAnsi="Century Gothic"/>
          <w:sz w:val="20"/>
          <w:szCs w:val="20"/>
          <w:lang w:val="en-GB"/>
        </w:rPr>
        <w:t xml:space="preserve"> </w:t>
      </w:r>
      <w:r w:rsidR="00EA1198" w:rsidRPr="00ED4441">
        <w:rPr>
          <w:rFonts w:ascii="Century Gothic" w:hAnsi="Century Gothic"/>
          <w:sz w:val="20"/>
          <w:szCs w:val="20"/>
          <w:lang w:val="en-GB"/>
        </w:rPr>
        <w:t xml:space="preserve">to </w:t>
      </w:r>
      <w:r w:rsidR="009D653A">
        <w:rPr>
          <w:rFonts w:ascii="Century Gothic" w:hAnsi="Century Gothic"/>
          <w:sz w:val="20"/>
          <w:szCs w:val="20"/>
          <w:lang w:val="en-GB"/>
        </w:rPr>
        <w:t xml:space="preserve">6 a.m., </w:t>
      </w:r>
      <w:r w:rsidR="00EA1198" w:rsidRPr="00ED4441">
        <w:rPr>
          <w:rFonts w:ascii="Century Gothic" w:hAnsi="Century Gothic"/>
          <w:sz w:val="20"/>
          <w:szCs w:val="20"/>
          <w:lang w:val="en-GB"/>
        </w:rPr>
        <w:t xml:space="preserve">1 </w:t>
      </w:r>
      <w:r w:rsidR="009D653A">
        <w:rPr>
          <w:rFonts w:ascii="Century Gothic" w:hAnsi="Century Gothic"/>
          <w:sz w:val="20"/>
          <w:szCs w:val="20"/>
          <w:lang w:val="en-GB"/>
        </w:rPr>
        <w:t>January</w:t>
      </w:r>
      <w:r w:rsidR="009D653A" w:rsidRPr="00ED4441">
        <w:rPr>
          <w:rFonts w:ascii="Century Gothic" w:hAnsi="Century Gothic"/>
          <w:sz w:val="20"/>
          <w:szCs w:val="20"/>
          <w:lang w:val="en-GB"/>
        </w:rPr>
        <w:t xml:space="preserve"> </w:t>
      </w:r>
      <w:r w:rsidR="00F561AE" w:rsidRPr="00ED4441">
        <w:rPr>
          <w:rFonts w:ascii="Century Gothic" w:hAnsi="Century Gothic"/>
          <w:sz w:val="20"/>
          <w:szCs w:val="20"/>
          <w:lang w:val="en-GB"/>
        </w:rPr>
        <w:t>202</w:t>
      </w:r>
      <w:r w:rsidR="007F57E6">
        <w:rPr>
          <w:rFonts w:ascii="Century Gothic" w:hAnsi="Century Gothic"/>
          <w:sz w:val="20"/>
          <w:szCs w:val="20"/>
          <w:lang w:val="en-GB"/>
        </w:rPr>
        <w:t>8</w:t>
      </w:r>
      <w:r w:rsidR="00F561AE">
        <w:rPr>
          <w:rFonts w:ascii="Century Gothic" w:hAnsi="Century Gothic"/>
          <w:sz w:val="20"/>
          <w:szCs w:val="20"/>
          <w:lang w:val="en-GB"/>
        </w:rPr>
        <w:t xml:space="preserve"> </w:t>
      </w:r>
      <w:r w:rsidR="000D5D8F">
        <w:rPr>
          <w:rFonts w:ascii="Century Gothic" w:hAnsi="Century Gothic"/>
          <w:sz w:val="20"/>
          <w:szCs w:val="20"/>
          <w:lang w:val="en-GB"/>
        </w:rPr>
        <w:t>(</w:t>
      </w:r>
      <w:r w:rsidR="007F57E6" w:rsidRPr="00120BCB">
        <w:rPr>
          <w:rFonts w:ascii="Century Gothic" w:hAnsi="Century Gothic"/>
          <w:sz w:val="20"/>
          <w:szCs w:val="20"/>
          <w:lang w:val="en-US"/>
        </w:rPr>
        <w:t>https://www.ure.gov.pl/pl/urzad/informacje-ogolne/komunikaty-prezesa-ure/13190,Informacja-172026.html</w:t>
      </w:r>
      <w:r w:rsidR="00EA1198" w:rsidRPr="002D2E8F">
        <w:rPr>
          <w:rFonts w:ascii="Century Gothic" w:hAnsi="Century Gothic"/>
          <w:sz w:val="20"/>
          <w:szCs w:val="20"/>
          <w:lang w:val="en-GB"/>
        </w:rPr>
        <w:t xml:space="preserve">) </w:t>
      </w:r>
      <w:r w:rsidR="00715895" w:rsidRPr="002D2E8F">
        <w:rPr>
          <w:rFonts w:ascii="Century Gothic" w:hAnsi="Century Gothic"/>
          <w:sz w:val="20"/>
          <w:szCs w:val="20"/>
          <w:lang w:val="en-GB"/>
        </w:rPr>
        <w:t>presented</w:t>
      </w:r>
      <w:r w:rsidR="00715895" w:rsidRPr="00715895">
        <w:rPr>
          <w:rFonts w:ascii="Century Gothic" w:hAnsi="Century Gothic"/>
          <w:sz w:val="20"/>
          <w:szCs w:val="20"/>
          <w:lang w:val="en-GB"/>
        </w:rPr>
        <w:t xml:space="preserve"> multipliers were </w:t>
      </w:r>
      <w:r w:rsidR="00EA1198">
        <w:rPr>
          <w:rFonts w:ascii="Century Gothic" w:hAnsi="Century Gothic"/>
          <w:sz w:val="20"/>
          <w:szCs w:val="20"/>
          <w:lang w:val="en-GB"/>
        </w:rPr>
        <w:t>set</w:t>
      </w:r>
      <w:r w:rsidR="00715895" w:rsidRPr="00715895">
        <w:rPr>
          <w:rFonts w:ascii="Century Gothic" w:hAnsi="Century Gothic"/>
          <w:sz w:val="20"/>
          <w:szCs w:val="20"/>
          <w:lang w:val="en-GB"/>
        </w:rPr>
        <w:t xml:space="preserve"> i</w:t>
      </w:r>
      <w:r w:rsidR="00715895">
        <w:rPr>
          <w:rFonts w:ascii="Century Gothic" w:hAnsi="Century Gothic"/>
          <w:sz w:val="20"/>
          <w:szCs w:val="20"/>
          <w:lang w:val="en-GB"/>
        </w:rPr>
        <w:t>n</w:t>
      </w:r>
      <w:r w:rsidR="003B0A20">
        <w:rPr>
          <w:rFonts w:ascii="Century Gothic" w:hAnsi="Century Gothic"/>
          <w:sz w:val="20"/>
          <w:szCs w:val="20"/>
          <w:lang w:val="en-GB"/>
        </w:rPr>
        <w:t> </w:t>
      </w:r>
      <w:r w:rsidR="00715895">
        <w:rPr>
          <w:rFonts w:ascii="Century Gothic" w:hAnsi="Century Gothic"/>
          <w:sz w:val="20"/>
          <w:szCs w:val="20"/>
          <w:lang w:val="en-GB"/>
        </w:rPr>
        <w:t>line with the requirements set out in the TAR NC with regard to existing market conditions (</w:t>
      </w:r>
      <w:r w:rsidR="005021F3">
        <w:rPr>
          <w:rFonts w:ascii="Century Gothic" w:hAnsi="Century Gothic"/>
          <w:sz w:val="20"/>
          <w:szCs w:val="20"/>
          <w:lang w:val="en-GB"/>
        </w:rPr>
        <w:t>the</w:t>
      </w:r>
      <w:r w:rsidR="00B2240D">
        <w:rPr>
          <w:rFonts w:ascii="Century Gothic" w:hAnsi="Century Gothic"/>
          <w:sz w:val="20"/>
          <w:szCs w:val="20"/>
          <w:lang w:val="en-GB"/>
        </w:rPr>
        <w:t> </w:t>
      </w:r>
      <w:r w:rsidR="005021F3">
        <w:rPr>
          <w:rFonts w:ascii="Century Gothic" w:hAnsi="Century Gothic"/>
          <w:sz w:val="20"/>
          <w:szCs w:val="20"/>
          <w:lang w:val="en-GB"/>
        </w:rPr>
        <w:t>level of the services offered, the availability of the services provided</w:t>
      </w:r>
      <w:r w:rsidR="008707A4">
        <w:rPr>
          <w:rFonts w:ascii="Century Gothic" w:hAnsi="Century Gothic"/>
          <w:sz w:val="20"/>
          <w:szCs w:val="20"/>
          <w:lang w:val="en-GB"/>
        </w:rPr>
        <w:t xml:space="preserve">). </w:t>
      </w:r>
    </w:p>
    <w:p w14:paraId="56304615" w14:textId="77777777" w:rsidR="00120BCB" w:rsidRDefault="00120BCB" w:rsidP="002E2B8D">
      <w:pPr>
        <w:spacing w:line="360" w:lineRule="auto"/>
        <w:jc w:val="both"/>
        <w:rPr>
          <w:rFonts w:ascii="Century Gothic" w:hAnsi="Century Gothic"/>
          <w:sz w:val="20"/>
          <w:szCs w:val="20"/>
          <w:lang w:val="en-GB"/>
        </w:rPr>
      </w:pPr>
      <w:r w:rsidRPr="00120BCB">
        <w:rPr>
          <w:rFonts w:ascii="Century Gothic" w:hAnsi="Century Gothic"/>
          <w:sz w:val="20"/>
          <w:szCs w:val="20"/>
          <w:lang w:val="en-GB"/>
        </w:rPr>
        <w:t>The multipliers for overnight and intraday products for 2027 have been reduced compared with 2026, whilst those for other short-term products remain unchanged.</w:t>
      </w:r>
    </w:p>
    <w:p w14:paraId="7BB3F6D3" w14:textId="28D6DEDB" w:rsidR="003047D3" w:rsidRPr="00715895" w:rsidRDefault="007272F6" w:rsidP="002E2B8D">
      <w:pPr>
        <w:spacing w:line="360" w:lineRule="auto"/>
        <w:jc w:val="both"/>
        <w:rPr>
          <w:rFonts w:ascii="Century Gothic" w:hAnsi="Century Gothic"/>
          <w:sz w:val="20"/>
          <w:szCs w:val="20"/>
          <w:lang w:val="en-GB"/>
        </w:rPr>
      </w:pPr>
      <w:r>
        <w:rPr>
          <w:rFonts w:ascii="Century Gothic" w:hAnsi="Century Gothic"/>
          <w:sz w:val="20"/>
          <w:szCs w:val="20"/>
          <w:lang w:val="en-GB"/>
        </w:rPr>
        <w:t xml:space="preserve">The level of the multiplies enable </w:t>
      </w:r>
      <w:r w:rsidR="009D653A">
        <w:rPr>
          <w:rFonts w:ascii="Century Gothic" w:hAnsi="Century Gothic"/>
          <w:sz w:val="20"/>
          <w:szCs w:val="20"/>
          <w:lang w:val="en-GB"/>
        </w:rPr>
        <w:t>the O</w:t>
      </w:r>
      <w:r>
        <w:rPr>
          <w:rFonts w:ascii="Century Gothic" w:hAnsi="Century Gothic"/>
          <w:sz w:val="20"/>
          <w:szCs w:val="20"/>
          <w:lang w:val="en-GB"/>
        </w:rPr>
        <w:t>perator</w:t>
      </w:r>
      <w:r w:rsidR="001C2C7B">
        <w:rPr>
          <w:rFonts w:ascii="Century Gothic" w:hAnsi="Century Gothic"/>
          <w:sz w:val="20"/>
          <w:szCs w:val="20"/>
          <w:lang w:val="en-GB"/>
        </w:rPr>
        <w:t xml:space="preserve"> the maintenance of the</w:t>
      </w:r>
      <w:r w:rsidR="000D54FF">
        <w:rPr>
          <w:rFonts w:ascii="Century Gothic" w:hAnsi="Century Gothic"/>
          <w:sz w:val="20"/>
          <w:szCs w:val="20"/>
          <w:lang w:val="en-GB"/>
        </w:rPr>
        <w:t xml:space="preserve"> level of long-term services, which provide the stability of the incomes and therefore enable financing the</w:t>
      </w:r>
      <w:r w:rsidR="003B0A20">
        <w:rPr>
          <w:rFonts w:ascii="Century Gothic" w:hAnsi="Century Gothic"/>
          <w:sz w:val="20"/>
          <w:szCs w:val="20"/>
          <w:lang w:val="en-GB"/>
        </w:rPr>
        <w:t> </w:t>
      </w:r>
      <w:r w:rsidR="000D54FF">
        <w:rPr>
          <w:rFonts w:ascii="Century Gothic" w:hAnsi="Century Gothic"/>
          <w:sz w:val="20"/>
          <w:szCs w:val="20"/>
          <w:lang w:val="en-GB"/>
        </w:rPr>
        <w:t xml:space="preserve">investments and short-term products that allow the system users to balance their portfolios. </w:t>
      </w:r>
    </w:p>
    <w:p w14:paraId="4210F609" w14:textId="716B88A5" w:rsidR="00067083" w:rsidRDefault="00067083" w:rsidP="002A06DE">
      <w:pPr>
        <w:spacing w:line="360" w:lineRule="auto"/>
        <w:jc w:val="both"/>
        <w:rPr>
          <w:rFonts w:ascii="Century Gothic" w:hAnsi="Century Gothic"/>
          <w:sz w:val="20"/>
          <w:szCs w:val="20"/>
          <w:lang w:val="en-GB"/>
        </w:rPr>
      </w:pPr>
      <w:r w:rsidRPr="00067083">
        <w:rPr>
          <w:rFonts w:ascii="Century Gothic" w:hAnsi="Century Gothic"/>
          <w:sz w:val="20"/>
          <w:szCs w:val="20"/>
          <w:lang w:val="en-GB"/>
        </w:rPr>
        <w:t xml:space="preserve">Due to the fact that multipliers and seasonal factors are set at equal levels for all entry and exit points to and from the transmission system, all the system users pay equal rates for short-term contract despite the contractual paths. </w:t>
      </w:r>
      <w:r>
        <w:rPr>
          <w:rFonts w:ascii="Century Gothic" w:hAnsi="Century Gothic"/>
          <w:sz w:val="20"/>
          <w:szCs w:val="20"/>
          <w:lang w:val="en-GB"/>
        </w:rPr>
        <w:t xml:space="preserve">Given the above, the application of the multipliers </w:t>
      </w:r>
      <w:r w:rsidR="009B72CC">
        <w:rPr>
          <w:rFonts w:ascii="Century Gothic" w:hAnsi="Century Gothic"/>
          <w:sz w:val="20"/>
          <w:szCs w:val="20"/>
          <w:lang w:val="en-GB"/>
        </w:rPr>
        <w:t xml:space="preserve">has no influence on the cross-subsidisation between </w:t>
      </w:r>
      <w:r w:rsidR="00936760">
        <w:rPr>
          <w:rFonts w:ascii="Century Gothic" w:hAnsi="Century Gothic"/>
          <w:sz w:val="20"/>
          <w:szCs w:val="20"/>
          <w:lang w:val="en-GB"/>
        </w:rPr>
        <w:t xml:space="preserve">system users and cross-border flows. </w:t>
      </w:r>
    </w:p>
    <w:p w14:paraId="06CE7D30" w14:textId="77777777" w:rsidR="002D2E8F" w:rsidRDefault="002D2E8F" w:rsidP="002A06DE">
      <w:pPr>
        <w:spacing w:line="360" w:lineRule="auto"/>
        <w:jc w:val="both"/>
        <w:rPr>
          <w:rFonts w:ascii="Century Gothic" w:hAnsi="Century Gothic"/>
          <w:sz w:val="20"/>
          <w:szCs w:val="20"/>
          <w:lang w:val="en-GB"/>
        </w:rPr>
      </w:pPr>
    </w:p>
    <w:p w14:paraId="6168EC0F" w14:textId="77777777" w:rsidR="00127440" w:rsidRDefault="00127440" w:rsidP="002A06DE">
      <w:pPr>
        <w:spacing w:line="360" w:lineRule="auto"/>
        <w:jc w:val="both"/>
        <w:rPr>
          <w:rFonts w:ascii="Century Gothic" w:hAnsi="Century Gothic"/>
          <w:sz w:val="20"/>
          <w:szCs w:val="20"/>
          <w:lang w:val="en-GB"/>
        </w:rPr>
      </w:pPr>
    </w:p>
    <w:p w14:paraId="1FBB9B00" w14:textId="77777777" w:rsidR="006B322F" w:rsidRPr="00936760" w:rsidRDefault="00936760" w:rsidP="002A06DE">
      <w:pPr>
        <w:pStyle w:val="Akapitzlist"/>
        <w:numPr>
          <w:ilvl w:val="0"/>
          <w:numId w:val="1"/>
        </w:numPr>
        <w:spacing w:line="360" w:lineRule="auto"/>
        <w:ind w:left="284" w:hanging="284"/>
        <w:rPr>
          <w:rFonts w:ascii="Century Gothic" w:hAnsi="Century Gothic"/>
          <w:b/>
          <w:sz w:val="20"/>
          <w:szCs w:val="20"/>
          <w:lang w:val="en-GB"/>
        </w:rPr>
      </w:pPr>
      <w:r w:rsidRPr="00105251">
        <w:rPr>
          <w:rFonts w:ascii="Century Gothic" w:hAnsi="Century Gothic"/>
          <w:b/>
          <w:sz w:val="20"/>
          <w:szCs w:val="20"/>
          <w:lang w:val="en-GB"/>
        </w:rPr>
        <w:lastRenderedPageBreak/>
        <w:t xml:space="preserve">The </w:t>
      </w:r>
      <w:r>
        <w:rPr>
          <w:rFonts w:ascii="Century Gothic" w:hAnsi="Century Gothic"/>
          <w:b/>
          <w:sz w:val="20"/>
          <w:szCs w:val="20"/>
          <w:lang w:val="en-GB"/>
        </w:rPr>
        <w:t xml:space="preserve">justification of the President of Energy regulatory office for the usage and level of seasonal factors </w:t>
      </w:r>
      <w:r w:rsidR="006B322F" w:rsidRPr="00936760">
        <w:rPr>
          <w:rFonts w:ascii="Century Gothic" w:hAnsi="Century Gothic"/>
          <w:b/>
          <w:sz w:val="20"/>
          <w:szCs w:val="20"/>
          <w:lang w:val="en-GB"/>
        </w:rPr>
        <w:t>(art</w:t>
      </w:r>
      <w:r>
        <w:rPr>
          <w:rFonts w:ascii="Century Gothic" w:hAnsi="Century Gothic"/>
          <w:b/>
          <w:sz w:val="20"/>
          <w:szCs w:val="20"/>
          <w:lang w:val="en-GB"/>
        </w:rPr>
        <w:t xml:space="preserve">icle </w:t>
      </w:r>
      <w:r w:rsidR="006B322F" w:rsidRPr="00936760">
        <w:rPr>
          <w:rFonts w:ascii="Century Gothic" w:hAnsi="Century Gothic"/>
          <w:b/>
          <w:sz w:val="20"/>
          <w:szCs w:val="20"/>
          <w:lang w:val="en-GB"/>
        </w:rPr>
        <w:t xml:space="preserve">29 </w:t>
      </w:r>
      <w:r>
        <w:rPr>
          <w:rFonts w:ascii="Century Gothic" w:hAnsi="Century Gothic"/>
          <w:b/>
          <w:sz w:val="20"/>
          <w:szCs w:val="20"/>
          <w:lang w:val="en-GB"/>
        </w:rPr>
        <w:t>(</w:t>
      </w:r>
      <w:r w:rsidR="006B322F" w:rsidRPr="00936760">
        <w:rPr>
          <w:rFonts w:ascii="Century Gothic" w:hAnsi="Century Gothic"/>
          <w:b/>
          <w:sz w:val="20"/>
          <w:szCs w:val="20"/>
          <w:lang w:val="en-GB"/>
        </w:rPr>
        <w:t xml:space="preserve">a) (iv) </w:t>
      </w:r>
      <w:r w:rsidRPr="00936760">
        <w:rPr>
          <w:rFonts w:ascii="Century Gothic" w:hAnsi="Century Gothic"/>
          <w:b/>
          <w:sz w:val="20"/>
          <w:szCs w:val="20"/>
          <w:lang w:val="en-GB"/>
        </w:rPr>
        <w:t>o</w:t>
      </w:r>
      <w:r>
        <w:rPr>
          <w:rFonts w:ascii="Century Gothic" w:hAnsi="Century Gothic"/>
          <w:b/>
          <w:sz w:val="20"/>
          <w:szCs w:val="20"/>
          <w:lang w:val="en-GB"/>
        </w:rPr>
        <w:t xml:space="preserve">f the TAR </w:t>
      </w:r>
      <w:r w:rsidR="006B322F" w:rsidRPr="00936760">
        <w:rPr>
          <w:rFonts w:ascii="Century Gothic" w:hAnsi="Century Gothic"/>
          <w:b/>
          <w:sz w:val="20"/>
          <w:szCs w:val="20"/>
          <w:lang w:val="en-GB"/>
        </w:rPr>
        <w:t>NC).</w:t>
      </w:r>
    </w:p>
    <w:p w14:paraId="71D890D5" w14:textId="38F0A88A" w:rsidR="0003238E" w:rsidRDefault="0002670B" w:rsidP="0011367A">
      <w:pPr>
        <w:spacing w:line="360" w:lineRule="auto"/>
        <w:jc w:val="both"/>
        <w:rPr>
          <w:rFonts w:ascii="Century Gothic" w:hAnsi="Century Gothic"/>
          <w:sz w:val="20"/>
          <w:szCs w:val="20"/>
          <w:lang w:val="en-GB"/>
        </w:rPr>
      </w:pPr>
      <w:r w:rsidRPr="00AF7427">
        <w:rPr>
          <w:rFonts w:ascii="Century Gothic" w:hAnsi="Century Gothic"/>
          <w:sz w:val="20"/>
          <w:szCs w:val="20"/>
          <w:lang w:val="en-GB"/>
        </w:rPr>
        <w:t xml:space="preserve">In accordance with </w:t>
      </w:r>
      <w:r w:rsidR="00F95653" w:rsidRPr="00ED4441">
        <w:rPr>
          <w:rFonts w:ascii="Century Gothic" w:hAnsi="Century Gothic"/>
          <w:sz w:val="20"/>
          <w:szCs w:val="20"/>
          <w:lang w:val="en-GB"/>
        </w:rPr>
        <w:t xml:space="preserve">the </w:t>
      </w:r>
      <w:r w:rsidR="00AD62E6" w:rsidRPr="00ED4441">
        <w:rPr>
          <w:rFonts w:ascii="Century Gothic" w:hAnsi="Century Gothic"/>
          <w:sz w:val="20"/>
          <w:szCs w:val="20"/>
          <w:lang w:val="en-GB"/>
        </w:rPr>
        <w:t>Communiqué</w:t>
      </w:r>
      <w:r w:rsidR="000D5D8F" w:rsidRPr="00ED4441">
        <w:rPr>
          <w:rFonts w:ascii="Century Gothic" w:hAnsi="Century Gothic"/>
          <w:sz w:val="20"/>
          <w:szCs w:val="20"/>
          <w:lang w:val="en-GB"/>
        </w:rPr>
        <w:t xml:space="preserve"> </w:t>
      </w:r>
      <w:r w:rsidR="00F95653" w:rsidRPr="00ED4441">
        <w:rPr>
          <w:rFonts w:ascii="Century Gothic" w:hAnsi="Century Gothic"/>
          <w:sz w:val="20"/>
          <w:szCs w:val="20"/>
          <w:lang w:val="en-GB"/>
        </w:rPr>
        <w:t>of the President of Energy Regulatory Office No</w:t>
      </w:r>
      <w:r w:rsidR="000D5D8F">
        <w:rPr>
          <w:rFonts w:ascii="Century Gothic" w:hAnsi="Century Gothic"/>
          <w:sz w:val="20"/>
          <w:szCs w:val="20"/>
          <w:lang w:val="en-GB"/>
        </w:rPr>
        <w:t>.</w:t>
      </w:r>
      <w:r w:rsidR="00F95653" w:rsidRPr="00ED4441">
        <w:rPr>
          <w:rFonts w:ascii="Century Gothic" w:hAnsi="Century Gothic"/>
          <w:sz w:val="20"/>
          <w:szCs w:val="20"/>
          <w:lang w:val="en-GB"/>
        </w:rPr>
        <w:t xml:space="preserve"> </w:t>
      </w:r>
      <w:r w:rsidR="007F57E6">
        <w:rPr>
          <w:rFonts w:ascii="Century Gothic" w:hAnsi="Century Gothic"/>
          <w:sz w:val="20"/>
          <w:szCs w:val="20"/>
          <w:lang w:val="en-GB"/>
        </w:rPr>
        <w:t>17</w:t>
      </w:r>
      <w:r w:rsidR="00F95653" w:rsidRPr="00ED4441">
        <w:rPr>
          <w:rFonts w:ascii="Century Gothic" w:hAnsi="Century Gothic"/>
          <w:sz w:val="20"/>
          <w:szCs w:val="20"/>
          <w:lang w:val="en-GB"/>
        </w:rPr>
        <w:t>/</w:t>
      </w:r>
      <w:r w:rsidR="00CB290D" w:rsidRPr="00ED4441">
        <w:rPr>
          <w:rFonts w:ascii="Century Gothic" w:hAnsi="Century Gothic"/>
          <w:sz w:val="20"/>
          <w:szCs w:val="20"/>
          <w:lang w:val="en-GB"/>
        </w:rPr>
        <w:t>202</w:t>
      </w:r>
      <w:r w:rsidR="007F57E6">
        <w:rPr>
          <w:rFonts w:ascii="Century Gothic" w:hAnsi="Century Gothic"/>
          <w:sz w:val="20"/>
          <w:szCs w:val="20"/>
          <w:lang w:val="en-GB"/>
        </w:rPr>
        <w:t>6</w:t>
      </w:r>
      <w:r w:rsidR="00CB290D" w:rsidRPr="00ED4441">
        <w:rPr>
          <w:rFonts w:ascii="Century Gothic" w:hAnsi="Century Gothic"/>
          <w:sz w:val="20"/>
          <w:szCs w:val="20"/>
          <w:lang w:val="en-GB"/>
        </w:rPr>
        <w:t xml:space="preserve"> </w:t>
      </w:r>
      <w:r w:rsidR="00F95653" w:rsidRPr="00ED4441">
        <w:rPr>
          <w:rFonts w:ascii="Century Gothic" w:hAnsi="Century Gothic"/>
          <w:sz w:val="20"/>
          <w:szCs w:val="20"/>
          <w:lang w:val="en-GB"/>
        </w:rPr>
        <w:t>concerning multipliers, seasonal factors and discounts, referred to in Article 28(1)(a) to (c) of</w:t>
      </w:r>
      <w:r w:rsidR="003B0A20">
        <w:rPr>
          <w:rFonts w:ascii="Century Gothic" w:hAnsi="Century Gothic"/>
          <w:sz w:val="20"/>
          <w:szCs w:val="20"/>
          <w:lang w:val="en-GB"/>
        </w:rPr>
        <w:t> </w:t>
      </w:r>
      <w:r w:rsidR="00F95653" w:rsidRPr="00ED4441">
        <w:rPr>
          <w:rFonts w:ascii="Century Gothic" w:hAnsi="Century Gothic"/>
          <w:sz w:val="20"/>
          <w:szCs w:val="20"/>
          <w:lang w:val="en-GB"/>
        </w:rPr>
        <w:t xml:space="preserve">the Tariff Code, to be taken into account in the calculation of tariffs for gaseous fuels transmission services for the period from </w:t>
      </w:r>
      <w:r w:rsidR="00565E26">
        <w:rPr>
          <w:rFonts w:ascii="Century Gothic" w:hAnsi="Century Gothic"/>
          <w:sz w:val="20"/>
          <w:szCs w:val="20"/>
          <w:lang w:val="en-GB"/>
        </w:rPr>
        <w:t xml:space="preserve">6 a.m., </w:t>
      </w:r>
      <w:r w:rsidR="00F95653" w:rsidRPr="00ED4441">
        <w:rPr>
          <w:rFonts w:ascii="Century Gothic" w:hAnsi="Century Gothic"/>
          <w:sz w:val="20"/>
          <w:szCs w:val="20"/>
          <w:lang w:val="en-GB"/>
        </w:rPr>
        <w:t xml:space="preserve">1 January </w:t>
      </w:r>
      <w:r w:rsidR="00CB290D" w:rsidRPr="00ED4441">
        <w:rPr>
          <w:rFonts w:ascii="Century Gothic" w:hAnsi="Century Gothic"/>
          <w:sz w:val="20"/>
          <w:szCs w:val="20"/>
          <w:lang w:val="en-GB"/>
        </w:rPr>
        <w:t>202</w:t>
      </w:r>
      <w:r w:rsidR="007F57E6">
        <w:rPr>
          <w:rFonts w:ascii="Century Gothic" w:hAnsi="Century Gothic"/>
          <w:sz w:val="20"/>
          <w:szCs w:val="20"/>
          <w:lang w:val="en-GB"/>
        </w:rPr>
        <w:t>7</w:t>
      </w:r>
      <w:r w:rsidR="00CB290D" w:rsidRPr="00ED4441">
        <w:rPr>
          <w:rFonts w:ascii="Century Gothic" w:hAnsi="Century Gothic"/>
          <w:sz w:val="20"/>
          <w:szCs w:val="20"/>
          <w:lang w:val="en-GB"/>
        </w:rPr>
        <w:t xml:space="preserve"> </w:t>
      </w:r>
      <w:r w:rsidR="00F95653" w:rsidRPr="00ED4441">
        <w:rPr>
          <w:rFonts w:ascii="Century Gothic" w:hAnsi="Century Gothic"/>
          <w:sz w:val="20"/>
          <w:szCs w:val="20"/>
          <w:lang w:val="en-GB"/>
        </w:rPr>
        <w:t xml:space="preserve">to </w:t>
      </w:r>
      <w:r w:rsidR="00565E26">
        <w:rPr>
          <w:rFonts w:ascii="Century Gothic" w:hAnsi="Century Gothic"/>
          <w:sz w:val="20"/>
          <w:szCs w:val="20"/>
          <w:lang w:val="en-GB"/>
        </w:rPr>
        <w:t xml:space="preserve">6 a.m., </w:t>
      </w:r>
      <w:r w:rsidR="00F95653" w:rsidRPr="00ED4441">
        <w:rPr>
          <w:rFonts w:ascii="Century Gothic" w:hAnsi="Century Gothic"/>
          <w:sz w:val="20"/>
          <w:szCs w:val="20"/>
          <w:lang w:val="en-GB"/>
        </w:rPr>
        <w:t xml:space="preserve">1 </w:t>
      </w:r>
      <w:r w:rsidR="00565E26">
        <w:rPr>
          <w:rFonts w:ascii="Century Gothic" w:hAnsi="Century Gothic"/>
          <w:sz w:val="20"/>
          <w:szCs w:val="20"/>
          <w:lang w:val="en-GB"/>
        </w:rPr>
        <w:t>January</w:t>
      </w:r>
      <w:r w:rsidR="00565E26" w:rsidRPr="00ED4441">
        <w:rPr>
          <w:rFonts w:ascii="Century Gothic" w:hAnsi="Century Gothic"/>
          <w:sz w:val="20"/>
          <w:szCs w:val="20"/>
          <w:lang w:val="en-GB"/>
        </w:rPr>
        <w:t xml:space="preserve"> </w:t>
      </w:r>
      <w:r w:rsidR="00CB290D" w:rsidRPr="00966590">
        <w:rPr>
          <w:rFonts w:ascii="Century Gothic" w:hAnsi="Century Gothic"/>
          <w:sz w:val="20"/>
          <w:szCs w:val="20"/>
          <w:lang w:val="en-GB"/>
        </w:rPr>
        <w:t>202</w:t>
      </w:r>
      <w:r w:rsidR="007F57E6">
        <w:rPr>
          <w:rFonts w:ascii="Century Gothic" w:hAnsi="Century Gothic"/>
          <w:sz w:val="20"/>
          <w:szCs w:val="20"/>
          <w:lang w:val="en-GB"/>
        </w:rPr>
        <w:t>8</w:t>
      </w:r>
      <w:r w:rsidR="00CB290D" w:rsidRPr="00966590">
        <w:rPr>
          <w:rFonts w:ascii="Century Gothic" w:hAnsi="Century Gothic"/>
          <w:sz w:val="20"/>
          <w:szCs w:val="20"/>
          <w:lang w:val="en-GB"/>
        </w:rPr>
        <w:t xml:space="preserve"> </w:t>
      </w:r>
      <w:r w:rsidR="000D5D8F" w:rsidRPr="00966590">
        <w:rPr>
          <w:rFonts w:ascii="Century Gothic" w:hAnsi="Century Gothic"/>
          <w:color w:val="000000" w:themeColor="text1"/>
          <w:sz w:val="20"/>
          <w:szCs w:val="20"/>
          <w:lang w:val="en-US"/>
        </w:rPr>
        <w:t>(</w:t>
      </w:r>
      <w:r w:rsidR="007F57E6" w:rsidRPr="00A66966">
        <w:rPr>
          <w:rFonts w:ascii="Century Gothic" w:hAnsi="Century Gothic"/>
          <w:sz w:val="20"/>
          <w:szCs w:val="20"/>
          <w:lang w:val="en-US"/>
        </w:rPr>
        <w:t>https://www.ure.gov.pl/pl/urzad/informacje-ogolne/komunikaty-prezesa-ure/13190,Informacja-172026.html</w:t>
      </w:r>
      <w:r w:rsidR="000D5D8F" w:rsidRPr="00C5135E">
        <w:rPr>
          <w:rFonts w:ascii="Century Gothic" w:hAnsi="Century Gothic"/>
          <w:color w:val="000000" w:themeColor="text1"/>
          <w:sz w:val="20"/>
          <w:szCs w:val="20"/>
          <w:lang w:val="en-US"/>
        </w:rPr>
        <w:t>)</w:t>
      </w:r>
      <w:r w:rsidR="00F95653" w:rsidRPr="00C5135E">
        <w:rPr>
          <w:rFonts w:ascii="Century Gothic" w:hAnsi="Century Gothic"/>
          <w:sz w:val="20"/>
          <w:szCs w:val="20"/>
          <w:lang w:val="en-GB"/>
        </w:rPr>
        <w:t xml:space="preserve"> </w:t>
      </w:r>
      <w:r w:rsidR="0011367A" w:rsidRPr="0011367A">
        <w:rPr>
          <w:rFonts w:ascii="Century Gothic" w:hAnsi="Century Gothic"/>
          <w:sz w:val="20"/>
          <w:szCs w:val="20"/>
          <w:lang w:val="en-GB"/>
        </w:rPr>
        <w:t xml:space="preserve">no seasonal </w:t>
      </w:r>
      <w:r w:rsidR="00861E63">
        <w:rPr>
          <w:rFonts w:ascii="Century Gothic" w:hAnsi="Century Gothic"/>
          <w:sz w:val="20"/>
          <w:szCs w:val="20"/>
          <w:lang w:val="en-GB"/>
        </w:rPr>
        <w:t>factors will be provided in 202</w:t>
      </w:r>
      <w:r w:rsidR="007F57E6">
        <w:rPr>
          <w:rFonts w:ascii="Century Gothic" w:hAnsi="Century Gothic"/>
          <w:sz w:val="20"/>
          <w:szCs w:val="20"/>
          <w:lang w:val="en-GB"/>
        </w:rPr>
        <w:t>7</w:t>
      </w:r>
      <w:r w:rsidR="00861E63">
        <w:rPr>
          <w:rFonts w:ascii="Century Gothic" w:hAnsi="Century Gothic"/>
          <w:sz w:val="20"/>
          <w:szCs w:val="20"/>
          <w:lang w:val="en-GB"/>
        </w:rPr>
        <w:t xml:space="preserve"> which are regulated in Article 15 NC TAR</w:t>
      </w:r>
      <w:r w:rsidR="0011367A" w:rsidRPr="0011367A">
        <w:rPr>
          <w:rFonts w:ascii="Century Gothic" w:hAnsi="Century Gothic"/>
          <w:sz w:val="20"/>
          <w:szCs w:val="20"/>
          <w:lang w:val="en-GB"/>
        </w:rPr>
        <w:t>.</w:t>
      </w:r>
      <w:r w:rsidR="0011367A">
        <w:rPr>
          <w:rFonts w:ascii="Century Gothic" w:hAnsi="Century Gothic"/>
          <w:sz w:val="20"/>
          <w:szCs w:val="20"/>
          <w:lang w:val="en-GB"/>
        </w:rPr>
        <w:t xml:space="preserve"> </w:t>
      </w:r>
    </w:p>
    <w:p w14:paraId="05A6C18E" w14:textId="77777777" w:rsidR="00633A19" w:rsidRPr="00672DDA" w:rsidRDefault="00633A19" w:rsidP="006B322F">
      <w:pPr>
        <w:pStyle w:val="Akapitzlist"/>
        <w:ind w:left="284"/>
        <w:rPr>
          <w:rFonts w:ascii="Century Gothic" w:hAnsi="Century Gothic"/>
          <w:b/>
          <w:sz w:val="20"/>
          <w:szCs w:val="20"/>
          <w:lang w:val="en-GB"/>
        </w:rPr>
      </w:pPr>
    </w:p>
    <w:p w14:paraId="7C9AC577" w14:textId="77777777" w:rsidR="006B322F" w:rsidRPr="00A2546A" w:rsidRDefault="00A2546A" w:rsidP="00A2546A">
      <w:pPr>
        <w:pStyle w:val="Akapitzlist"/>
        <w:numPr>
          <w:ilvl w:val="0"/>
          <w:numId w:val="1"/>
        </w:numPr>
        <w:ind w:left="284" w:hanging="284"/>
        <w:rPr>
          <w:rFonts w:ascii="Century Gothic" w:hAnsi="Century Gothic"/>
          <w:b/>
          <w:sz w:val="20"/>
          <w:szCs w:val="20"/>
          <w:lang w:val="en-GB"/>
        </w:rPr>
      </w:pPr>
      <w:r w:rsidRPr="00A2546A">
        <w:rPr>
          <w:rFonts w:ascii="Century Gothic" w:hAnsi="Century Gothic"/>
          <w:b/>
          <w:sz w:val="20"/>
          <w:szCs w:val="20"/>
          <w:lang w:val="en-GB"/>
        </w:rPr>
        <w:t>The valuation of the proba</w:t>
      </w:r>
      <w:r>
        <w:rPr>
          <w:rFonts w:ascii="Century Gothic" w:hAnsi="Century Gothic"/>
          <w:b/>
          <w:sz w:val="20"/>
          <w:szCs w:val="20"/>
          <w:lang w:val="en-GB"/>
        </w:rPr>
        <w:t xml:space="preserve">bility of interruption </w:t>
      </w:r>
      <w:r w:rsidR="006B322F" w:rsidRPr="00A2546A">
        <w:rPr>
          <w:rFonts w:ascii="Century Gothic" w:hAnsi="Century Gothic"/>
          <w:b/>
          <w:sz w:val="20"/>
          <w:szCs w:val="20"/>
          <w:lang w:val="en-GB"/>
        </w:rPr>
        <w:t>(art</w:t>
      </w:r>
      <w:r>
        <w:rPr>
          <w:rFonts w:ascii="Century Gothic" w:hAnsi="Century Gothic"/>
          <w:b/>
          <w:sz w:val="20"/>
          <w:szCs w:val="20"/>
          <w:lang w:val="en-GB"/>
        </w:rPr>
        <w:t xml:space="preserve">icle </w:t>
      </w:r>
      <w:r w:rsidR="006B322F" w:rsidRPr="00A2546A">
        <w:rPr>
          <w:rFonts w:ascii="Century Gothic" w:hAnsi="Century Gothic"/>
          <w:b/>
          <w:sz w:val="20"/>
          <w:szCs w:val="20"/>
          <w:lang w:val="en-GB"/>
        </w:rPr>
        <w:t xml:space="preserve">29 </w:t>
      </w:r>
      <w:r>
        <w:rPr>
          <w:rFonts w:ascii="Century Gothic" w:hAnsi="Century Gothic"/>
          <w:b/>
          <w:sz w:val="20"/>
          <w:szCs w:val="20"/>
          <w:lang w:val="en-GB"/>
        </w:rPr>
        <w:t>(</w:t>
      </w:r>
      <w:r w:rsidR="006B322F" w:rsidRPr="00A2546A">
        <w:rPr>
          <w:rFonts w:ascii="Century Gothic" w:hAnsi="Century Gothic"/>
          <w:b/>
          <w:sz w:val="20"/>
          <w:szCs w:val="20"/>
          <w:lang w:val="en-GB"/>
        </w:rPr>
        <w:t xml:space="preserve">b) (i), (ii) </w:t>
      </w:r>
      <w:r w:rsidRPr="00A2546A">
        <w:rPr>
          <w:rFonts w:ascii="Century Gothic" w:hAnsi="Century Gothic"/>
          <w:b/>
          <w:sz w:val="20"/>
          <w:szCs w:val="20"/>
          <w:lang w:val="en-GB"/>
        </w:rPr>
        <w:t>a</w:t>
      </w:r>
      <w:r>
        <w:rPr>
          <w:rFonts w:ascii="Century Gothic" w:hAnsi="Century Gothic"/>
          <w:b/>
          <w:sz w:val="20"/>
          <w:szCs w:val="20"/>
          <w:lang w:val="en-GB"/>
        </w:rPr>
        <w:t xml:space="preserve">nd </w:t>
      </w:r>
      <w:r w:rsidR="006B322F" w:rsidRPr="00A2546A">
        <w:rPr>
          <w:rFonts w:ascii="Century Gothic" w:hAnsi="Century Gothic"/>
          <w:b/>
          <w:sz w:val="20"/>
          <w:szCs w:val="20"/>
          <w:lang w:val="en-GB"/>
        </w:rPr>
        <w:t xml:space="preserve">(iii) </w:t>
      </w:r>
      <w:r>
        <w:rPr>
          <w:rFonts w:ascii="Century Gothic" w:hAnsi="Century Gothic"/>
          <w:b/>
          <w:sz w:val="20"/>
          <w:szCs w:val="20"/>
          <w:lang w:val="en-GB"/>
        </w:rPr>
        <w:t xml:space="preserve">of the TAR </w:t>
      </w:r>
      <w:r w:rsidR="006B322F" w:rsidRPr="00A2546A">
        <w:rPr>
          <w:rFonts w:ascii="Century Gothic" w:hAnsi="Century Gothic"/>
          <w:b/>
          <w:sz w:val="20"/>
          <w:szCs w:val="20"/>
          <w:lang w:val="en-GB"/>
        </w:rPr>
        <w:t>NC).</w:t>
      </w:r>
    </w:p>
    <w:p w14:paraId="61E71787" w14:textId="33A20434" w:rsidR="00B2034F" w:rsidRPr="00236124" w:rsidRDefault="00B2034F" w:rsidP="00164D2D">
      <w:pPr>
        <w:autoSpaceDE w:val="0"/>
        <w:autoSpaceDN w:val="0"/>
        <w:adjustRightInd w:val="0"/>
        <w:spacing w:after="0" w:line="360" w:lineRule="auto"/>
        <w:jc w:val="both"/>
        <w:rPr>
          <w:rFonts w:ascii="Century Gothic" w:hAnsi="Century Gothic"/>
          <w:sz w:val="20"/>
          <w:szCs w:val="20"/>
          <w:lang w:val="en-GB"/>
        </w:rPr>
      </w:pPr>
      <w:r w:rsidRPr="00AF7427">
        <w:rPr>
          <w:rFonts w:ascii="Century Gothic" w:hAnsi="Century Gothic"/>
          <w:sz w:val="20"/>
          <w:szCs w:val="20"/>
          <w:lang w:val="en-GB"/>
        </w:rPr>
        <w:t xml:space="preserve">In accordance with </w:t>
      </w:r>
      <w:r w:rsidRPr="00ED4441">
        <w:rPr>
          <w:rFonts w:ascii="Century Gothic" w:hAnsi="Century Gothic"/>
          <w:sz w:val="20"/>
          <w:szCs w:val="20"/>
          <w:lang w:val="en-GB"/>
        </w:rPr>
        <w:t xml:space="preserve">the </w:t>
      </w:r>
      <w:r w:rsidR="00AD62E6" w:rsidRPr="00ED4441">
        <w:rPr>
          <w:rFonts w:ascii="Century Gothic" w:hAnsi="Century Gothic"/>
          <w:sz w:val="20"/>
          <w:szCs w:val="20"/>
          <w:lang w:val="en-GB"/>
        </w:rPr>
        <w:t>Communiqué</w:t>
      </w:r>
      <w:r w:rsidR="000D5D8F" w:rsidRPr="00ED4441">
        <w:rPr>
          <w:rFonts w:ascii="Century Gothic" w:hAnsi="Century Gothic"/>
          <w:sz w:val="20"/>
          <w:szCs w:val="20"/>
          <w:lang w:val="en-GB"/>
        </w:rPr>
        <w:t xml:space="preserve"> </w:t>
      </w:r>
      <w:r w:rsidRPr="00ED4441">
        <w:rPr>
          <w:rFonts w:ascii="Century Gothic" w:hAnsi="Century Gothic"/>
          <w:sz w:val="20"/>
          <w:szCs w:val="20"/>
          <w:lang w:val="en-GB"/>
        </w:rPr>
        <w:t>of the President of Energy Regulatory Office No</w:t>
      </w:r>
      <w:r w:rsidR="000D5D8F">
        <w:rPr>
          <w:rFonts w:ascii="Century Gothic" w:hAnsi="Century Gothic"/>
          <w:sz w:val="20"/>
          <w:szCs w:val="20"/>
          <w:lang w:val="en-GB"/>
        </w:rPr>
        <w:t>.</w:t>
      </w:r>
      <w:r w:rsidR="00164D2D">
        <w:rPr>
          <w:rFonts w:ascii="Century Gothic" w:hAnsi="Century Gothic"/>
          <w:sz w:val="20"/>
          <w:szCs w:val="20"/>
          <w:lang w:val="en-GB"/>
        </w:rPr>
        <w:t xml:space="preserve"> </w:t>
      </w:r>
      <w:r w:rsidR="004669EE">
        <w:rPr>
          <w:rFonts w:ascii="Century Gothic" w:hAnsi="Century Gothic"/>
          <w:sz w:val="20"/>
          <w:szCs w:val="20"/>
          <w:lang w:val="en-GB"/>
        </w:rPr>
        <w:t>17</w:t>
      </w:r>
      <w:r w:rsidRPr="00ED4441">
        <w:rPr>
          <w:rFonts w:ascii="Century Gothic" w:hAnsi="Century Gothic"/>
          <w:sz w:val="20"/>
          <w:szCs w:val="20"/>
          <w:lang w:val="en-GB"/>
        </w:rPr>
        <w:t>/</w:t>
      </w:r>
      <w:r w:rsidR="00CB290D" w:rsidRPr="00ED4441">
        <w:rPr>
          <w:rFonts w:ascii="Century Gothic" w:hAnsi="Century Gothic"/>
          <w:sz w:val="20"/>
          <w:szCs w:val="20"/>
          <w:lang w:val="en-GB"/>
        </w:rPr>
        <w:t>202</w:t>
      </w:r>
      <w:r w:rsidR="004669EE">
        <w:rPr>
          <w:rFonts w:ascii="Century Gothic" w:hAnsi="Century Gothic"/>
          <w:sz w:val="20"/>
          <w:szCs w:val="20"/>
          <w:lang w:val="en-GB"/>
        </w:rPr>
        <w:t>6</w:t>
      </w:r>
      <w:r w:rsidR="00CB290D">
        <w:rPr>
          <w:rFonts w:ascii="Century Gothic" w:hAnsi="Century Gothic"/>
          <w:sz w:val="20"/>
          <w:szCs w:val="20"/>
          <w:lang w:val="en-GB"/>
        </w:rPr>
        <w:t xml:space="preserve"> </w:t>
      </w:r>
      <w:r>
        <w:rPr>
          <w:rFonts w:ascii="Century Gothic" w:hAnsi="Century Gothic"/>
          <w:sz w:val="20"/>
          <w:szCs w:val="20"/>
          <w:lang w:val="en-GB"/>
        </w:rPr>
        <w:t xml:space="preserve">in </w:t>
      </w:r>
      <w:r w:rsidR="00CB290D">
        <w:rPr>
          <w:rFonts w:ascii="Century Gothic" w:hAnsi="Century Gothic"/>
          <w:sz w:val="20"/>
          <w:szCs w:val="20"/>
          <w:lang w:val="en-GB"/>
        </w:rPr>
        <w:t>202</w:t>
      </w:r>
      <w:r w:rsidR="004669EE">
        <w:rPr>
          <w:rFonts w:ascii="Century Gothic" w:hAnsi="Century Gothic"/>
          <w:sz w:val="20"/>
          <w:szCs w:val="20"/>
          <w:lang w:val="en-GB"/>
        </w:rPr>
        <w:t>7</w:t>
      </w:r>
      <w:r w:rsidR="00CB290D">
        <w:rPr>
          <w:rFonts w:ascii="Century Gothic" w:hAnsi="Century Gothic"/>
          <w:sz w:val="20"/>
          <w:szCs w:val="20"/>
          <w:lang w:val="en-GB"/>
        </w:rPr>
        <w:t xml:space="preserve"> </w:t>
      </w:r>
      <w:r w:rsidRPr="00164D2D">
        <w:rPr>
          <w:rFonts w:ascii="Century Gothic" w:hAnsi="Century Gothic"/>
          <w:sz w:val="20"/>
          <w:szCs w:val="20"/>
          <w:lang w:val="en-GB"/>
        </w:rPr>
        <w:t>for interconnection points with EU countries and with third countries, as well as for</w:t>
      </w:r>
      <w:r w:rsidR="00164D2D" w:rsidRPr="00164D2D">
        <w:rPr>
          <w:rFonts w:ascii="Century Gothic" w:hAnsi="Century Gothic"/>
          <w:sz w:val="20"/>
          <w:szCs w:val="20"/>
          <w:lang w:val="en-GB"/>
        </w:rPr>
        <w:t xml:space="preserve"> </w:t>
      </w:r>
      <w:r w:rsidRPr="00164D2D">
        <w:rPr>
          <w:rFonts w:ascii="Century Gothic" w:hAnsi="Century Gothic"/>
          <w:sz w:val="20"/>
          <w:szCs w:val="20"/>
          <w:lang w:val="en-GB"/>
        </w:rPr>
        <w:t>internal entry/exit points, the ex-ante methodology referred to in Article 16(1)-(3) of the Tariff</w:t>
      </w:r>
      <w:r w:rsidR="00164D2D" w:rsidRPr="00164D2D">
        <w:rPr>
          <w:rFonts w:ascii="Century Gothic" w:hAnsi="Century Gothic"/>
          <w:sz w:val="20"/>
          <w:szCs w:val="20"/>
          <w:lang w:val="en-GB"/>
        </w:rPr>
        <w:t xml:space="preserve"> </w:t>
      </w:r>
      <w:r w:rsidRPr="00164D2D">
        <w:rPr>
          <w:rFonts w:ascii="Century Gothic" w:hAnsi="Century Gothic"/>
          <w:sz w:val="20"/>
          <w:szCs w:val="20"/>
          <w:lang w:val="en-GB"/>
        </w:rPr>
        <w:t>Code</w:t>
      </w:r>
      <w:r w:rsidR="00164D2D" w:rsidRPr="00164D2D">
        <w:rPr>
          <w:rFonts w:ascii="Century Gothic" w:hAnsi="Century Gothic"/>
          <w:sz w:val="20"/>
          <w:szCs w:val="20"/>
          <w:lang w:val="en-GB"/>
        </w:rPr>
        <w:t xml:space="preserve">. Detailed information concerning </w:t>
      </w:r>
      <w:r w:rsidRPr="00164D2D">
        <w:rPr>
          <w:rFonts w:ascii="Century Gothic" w:hAnsi="Century Gothic"/>
          <w:sz w:val="20"/>
          <w:szCs w:val="20"/>
          <w:lang w:val="en-GB"/>
        </w:rPr>
        <w:t>settlements of standard capacity products for</w:t>
      </w:r>
      <w:r w:rsidR="00AB1C60">
        <w:rPr>
          <w:rFonts w:ascii="Century Gothic" w:hAnsi="Century Gothic"/>
          <w:sz w:val="20"/>
          <w:szCs w:val="20"/>
          <w:lang w:val="en-GB"/>
        </w:rPr>
        <w:t> </w:t>
      </w:r>
      <w:r w:rsidRPr="00164D2D">
        <w:rPr>
          <w:rFonts w:ascii="Century Gothic" w:hAnsi="Century Gothic"/>
          <w:sz w:val="20"/>
          <w:szCs w:val="20"/>
          <w:lang w:val="en-GB"/>
        </w:rPr>
        <w:t xml:space="preserve">interruptible </w:t>
      </w:r>
      <w:r w:rsidR="00164D2D" w:rsidRPr="00164D2D">
        <w:rPr>
          <w:rFonts w:ascii="Century Gothic" w:hAnsi="Century Gothic"/>
          <w:sz w:val="20"/>
          <w:szCs w:val="20"/>
          <w:lang w:val="en-GB"/>
        </w:rPr>
        <w:t>c</w:t>
      </w:r>
      <w:r w:rsidRPr="00164D2D">
        <w:rPr>
          <w:rFonts w:ascii="Century Gothic" w:hAnsi="Century Gothic"/>
          <w:sz w:val="20"/>
          <w:szCs w:val="20"/>
          <w:lang w:val="en-GB"/>
        </w:rPr>
        <w:t>apacity</w:t>
      </w:r>
      <w:r w:rsidR="00164D2D" w:rsidRPr="00164D2D">
        <w:rPr>
          <w:rFonts w:ascii="Century Gothic" w:hAnsi="Century Gothic"/>
          <w:sz w:val="20"/>
          <w:szCs w:val="20"/>
          <w:lang w:val="en-GB"/>
        </w:rPr>
        <w:t xml:space="preserve"> are set </w:t>
      </w:r>
      <w:r w:rsidR="00164D2D" w:rsidRPr="000F4CEF">
        <w:rPr>
          <w:rFonts w:ascii="Century Gothic" w:hAnsi="Century Gothic"/>
          <w:sz w:val="20"/>
          <w:szCs w:val="20"/>
          <w:lang w:val="en-GB"/>
        </w:rPr>
        <w:t xml:space="preserve">in points </w:t>
      </w:r>
      <w:r w:rsidR="005853B7" w:rsidRPr="000F4CEF">
        <w:rPr>
          <w:rFonts w:ascii="Century Gothic" w:hAnsi="Century Gothic"/>
          <w:sz w:val="20"/>
          <w:szCs w:val="20"/>
          <w:lang w:val="en-GB"/>
        </w:rPr>
        <w:t>10</w:t>
      </w:r>
      <w:r w:rsidR="00164D2D" w:rsidRPr="000F4CEF">
        <w:rPr>
          <w:rFonts w:ascii="Century Gothic" w:hAnsi="Century Gothic"/>
          <w:sz w:val="20"/>
          <w:szCs w:val="20"/>
          <w:lang w:val="en-GB"/>
        </w:rPr>
        <w:t xml:space="preserve">.3 and </w:t>
      </w:r>
      <w:r w:rsidR="005853B7" w:rsidRPr="000F4CEF">
        <w:rPr>
          <w:rFonts w:ascii="Century Gothic" w:hAnsi="Century Gothic"/>
          <w:sz w:val="20"/>
          <w:szCs w:val="20"/>
          <w:lang w:val="en-GB"/>
        </w:rPr>
        <w:t>10</w:t>
      </w:r>
      <w:r w:rsidR="00164D2D" w:rsidRPr="000F4CEF">
        <w:rPr>
          <w:rFonts w:ascii="Century Gothic" w:hAnsi="Century Gothic"/>
          <w:sz w:val="20"/>
          <w:szCs w:val="20"/>
          <w:lang w:val="en-GB"/>
        </w:rPr>
        <w:t>.4</w:t>
      </w:r>
      <w:r w:rsidR="00117411">
        <w:rPr>
          <w:rFonts w:ascii="Century Gothic" w:hAnsi="Century Gothic"/>
          <w:sz w:val="20"/>
          <w:szCs w:val="20"/>
          <w:lang w:val="en-GB"/>
        </w:rPr>
        <w:t xml:space="preserve"> </w:t>
      </w:r>
      <w:r w:rsidR="00164D2D" w:rsidRPr="000F4CEF">
        <w:rPr>
          <w:rFonts w:ascii="Century Gothic" w:hAnsi="Century Gothic"/>
          <w:sz w:val="20"/>
          <w:szCs w:val="20"/>
          <w:lang w:val="en-GB"/>
        </w:rPr>
        <w:t xml:space="preserve">of the Tariff No. </w:t>
      </w:r>
      <w:r w:rsidR="008A72B4" w:rsidRPr="000F4CEF">
        <w:rPr>
          <w:rFonts w:ascii="Century Gothic" w:hAnsi="Century Gothic"/>
          <w:sz w:val="20"/>
          <w:szCs w:val="20"/>
          <w:lang w:val="en-GB"/>
        </w:rPr>
        <w:t>1</w:t>
      </w:r>
      <w:r w:rsidR="004669EE">
        <w:rPr>
          <w:rFonts w:ascii="Century Gothic" w:hAnsi="Century Gothic"/>
          <w:sz w:val="20"/>
          <w:szCs w:val="20"/>
          <w:lang w:val="en-GB"/>
        </w:rPr>
        <w:t>/2027</w:t>
      </w:r>
      <w:r w:rsidRPr="00236124">
        <w:rPr>
          <w:rFonts w:ascii="Century Gothic" w:hAnsi="Century Gothic"/>
          <w:sz w:val="20"/>
          <w:szCs w:val="20"/>
          <w:lang w:val="en-GB"/>
        </w:rPr>
        <w:t>.</w:t>
      </w:r>
    </w:p>
    <w:p w14:paraId="2328C2D4" w14:textId="0EEC1B9E" w:rsidR="00B2034F" w:rsidRDefault="00B2034F" w:rsidP="008C6DC5">
      <w:pPr>
        <w:autoSpaceDE w:val="0"/>
        <w:autoSpaceDN w:val="0"/>
        <w:adjustRightInd w:val="0"/>
        <w:spacing w:after="0" w:line="360" w:lineRule="auto"/>
        <w:jc w:val="both"/>
        <w:rPr>
          <w:rFonts w:ascii="Century Gothic" w:hAnsi="Century Gothic"/>
          <w:sz w:val="20"/>
          <w:szCs w:val="20"/>
          <w:lang w:val="en-GB"/>
        </w:rPr>
      </w:pPr>
      <w:r w:rsidRPr="00236124">
        <w:rPr>
          <w:rFonts w:ascii="Century Gothic" w:hAnsi="Century Gothic"/>
          <w:sz w:val="20"/>
          <w:szCs w:val="20"/>
          <w:lang w:val="en-GB"/>
        </w:rPr>
        <w:t>The reserve prices for standard capacity products for interruptible</w:t>
      </w:r>
      <w:r w:rsidRPr="00164D2D">
        <w:rPr>
          <w:rFonts w:ascii="Century Gothic" w:hAnsi="Century Gothic"/>
          <w:sz w:val="20"/>
          <w:szCs w:val="20"/>
          <w:lang w:val="en-GB"/>
        </w:rPr>
        <w:t xml:space="preserve"> capacity shall be calculated by</w:t>
      </w:r>
      <w:r w:rsidR="00164D2D" w:rsidRPr="00164D2D">
        <w:rPr>
          <w:rFonts w:ascii="Century Gothic" w:hAnsi="Century Gothic"/>
          <w:sz w:val="20"/>
          <w:szCs w:val="20"/>
          <w:lang w:val="en-GB"/>
        </w:rPr>
        <w:t xml:space="preserve"> </w:t>
      </w:r>
      <w:r w:rsidRPr="00164D2D">
        <w:rPr>
          <w:rFonts w:ascii="Century Gothic" w:hAnsi="Century Gothic"/>
          <w:sz w:val="20"/>
          <w:szCs w:val="20"/>
          <w:lang w:val="en-GB"/>
        </w:rPr>
        <w:t>multiplying the reserve prices for the respective standard capacity products for</w:t>
      </w:r>
      <w:r w:rsidR="00AB1C60">
        <w:rPr>
          <w:rFonts w:ascii="Century Gothic" w:hAnsi="Century Gothic"/>
          <w:sz w:val="20"/>
          <w:szCs w:val="20"/>
          <w:lang w:val="en-GB"/>
        </w:rPr>
        <w:t> </w:t>
      </w:r>
      <w:r w:rsidRPr="00164D2D">
        <w:rPr>
          <w:rFonts w:ascii="Century Gothic" w:hAnsi="Century Gothic"/>
          <w:sz w:val="20"/>
          <w:szCs w:val="20"/>
          <w:lang w:val="en-GB"/>
        </w:rPr>
        <w:t>firm capacity by</w:t>
      </w:r>
      <w:r w:rsidR="00164D2D" w:rsidRPr="00164D2D">
        <w:rPr>
          <w:rFonts w:ascii="Century Gothic" w:hAnsi="Century Gothic"/>
          <w:sz w:val="20"/>
          <w:szCs w:val="20"/>
          <w:lang w:val="en-GB"/>
        </w:rPr>
        <w:t xml:space="preserve"> </w:t>
      </w:r>
      <w:r w:rsidRPr="00164D2D">
        <w:rPr>
          <w:rFonts w:ascii="Century Gothic" w:hAnsi="Century Gothic"/>
          <w:sz w:val="20"/>
          <w:szCs w:val="20"/>
          <w:lang w:val="en-GB"/>
        </w:rPr>
        <w:t>the difference between 100 % and the level of an ex-ante discount.</w:t>
      </w:r>
    </w:p>
    <w:p w14:paraId="12EC3F76" w14:textId="77777777" w:rsidR="002236CE" w:rsidRPr="00164D2D" w:rsidRDefault="002236CE" w:rsidP="008C6DC5">
      <w:pPr>
        <w:autoSpaceDE w:val="0"/>
        <w:autoSpaceDN w:val="0"/>
        <w:adjustRightInd w:val="0"/>
        <w:spacing w:after="0" w:line="360" w:lineRule="auto"/>
        <w:jc w:val="both"/>
        <w:rPr>
          <w:rFonts w:ascii="Century Gothic" w:hAnsi="Century Gothic"/>
          <w:sz w:val="20"/>
          <w:szCs w:val="20"/>
          <w:lang w:val="en-GB"/>
        </w:rPr>
      </w:pPr>
    </w:p>
    <w:p w14:paraId="6DC6FC28" w14:textId="1AB56E12" w:rsidR="00B2034F" w:rsidRPr="00164D2D" w:rsidRDefault="00B2034F" w:rsidP="0007216F">
      <w:pPr>
        <w:rPr>
          <w:rFonts w:ascii="Century Gothic" w:hAnsi="Century Gothic"/>
          <w:sz w:val="20"/>
          <w:szCs w:val="20"/>
          <w:lang w:val="en-GB"/>
        </w:rPr>
      </w:pPr>
      <w:r w:rsidRPr="00164D2D">
        <w:rPr>
          <w:rFonts w:ascii="Century Gothic" w:hAnsi="Century Gothic"/>
          <w:sz w:val="20"/>
          <w:szCs w:val="20"/>
          <w:lang w:val="en-GB"/>
        </w:rPr>
        <w:t xml:space="preserve">The following level of ex-ante discount will be applied in </w:t>
      </w:r>
      <w:r w:rsidR="00CB290D" w:rsidRPr="00164D2D">
        <w:rPr>
          <w:rFonts w:ascii="Century Gothic" w:hAnsi="Century Gothic"/>
          <w:sz w:val="20"/>
          <w:szCs w:val="20"/>
          <w:lang w:val="en-GB"/>
        </w:rPr>
        <w:t>202</w:t>
      </w:r>
      <w:r w:rsidR="004669EE">
        <w:rPr>
          <w:rFonts w:ascii="Century Gothic" w:hAnsi="Century Gothic"/>
          <w:sz w:val="20"/>
          <w:szCs w:val="20"/>
          <w:lang w:val="en-GB"/>
        </w:rPr>
        <w:t>7</w:t>
      </w:r>
      <w:r w:rsidRPr="00164D2D">
        <w:rPr>
          <w:rFonts w:ascii="Century Gothic" w:hAnsi="Century Gothic"/>
          <w:sz w:val="20"/>
          <w:szCs w:val="20"/>
          <w:lang w:val="en-GB"/>
        </w:rPr>
        <w:t>:</w:t>
      </w:r>
    </w:p>
    <w:p w14:paraId="5B8D53C6" w14:textId="75ED4B58" w:rsidR="00B2034F" w:rsidRPr="00164D2D" w:rsidRDefault="00B2034F" w:rsidP="00596142">
      <w:pPr>
        <w:pStyle w:val="Akapitzlist"/>
        <w:numPr>
          <w:ilvl w:val="0"/>
          <w:numId w:val="3"/>
        </w:numPr>
        <w:autoSpaceDE w:val="0"/>
        <w:autoSpaceDN w:val="0"/>
        <w:adjustRightInd w:val="0"/>
        <w:spacing w:after="0" w:line="360" w:lineRule="auto"/>
        <w:jc w:val="both"/>
        <w:rPr>
          <w:rFonts w:ascii="Century Gothic" w:hAnsi="Century Gothic"/>
          <w:sz w:val="20"/>
          <w:szCs w:val="20"/>
          <w:lang w:val="en-GB"/>
        </w:rPr>
      </w:pPr>
      <w:r w:rsidRPr="008C6DC5">
        <w:rPr>
          <w:rFonts w:ascii="Century Gothic" w:hAnsi="Century Gothic"/>
          <w:b/>
          <w:bCs/>
          <w:sz w:val="20"/>
          <w:szCs w:val="20"/>
          <w:lang w:val="en-GB"/>
        </w:rPr>
        <w:t>6%</w:t>
      </w:r>
      <w:r w:rsidRPr="00164D2D">
        <w:rPr>
          <w:rFonts w:ascii="Century Gothic" w:hAnsi="Century Gothic"/>
          <w:sz w:val="20"/>
          <w:szCs w:val="20"/>
          <w:lang w:val="en-GB"/>
        </w:rPr>
        <w:t xml:space="preserve"> for annual, quarterly, monthly, daily and within-day standard capacity products for</w:t>
      </w:r>
      <w:r w:rsidR="00AB1C60">
        <w:rPr>
          <w:rFonts w:ascii="Century Gothic" w:hAnsi="Century Gothic"/>
          <w:sz w:val="20"/>
          <w:szCs w:val="20"/>
          <w:lang w:val="en-GB"/>
        </w:rPr>
        <w:t> </w:t>
      </w:r>
      <w:r w:rsidRPr="00164D2D">
        <w:rPr>
          <w:rFonts w:ascii="Century Gothic" w:hAnsi="Century Gothic"/>
          <w:sz w:val="20"/>
          <w:szCs w:val="20"/>
          <w:lang w:val="en-GB"/>
        </w:rPr>
        <w:t>E-gas, offered at interconnection points with EU countries and with third countries</w:t>
      </w:r>
      <w:r w:rsidR="00071282">
        <w:rPr>
          <w:rFonts w:ascii="Century Gothic" w:hAnsi="Century Gothic"/>
          <w:sz w:val="20"/>
          <w:szCs w:val="20"/>
          <w:lang w:val="en-GB"/>
        </w:rPr>
        <w:t xml:space="preserve"> and </w:t>
      </w:r>
      <w:r w:rsidR="00596706" w:rsidRPr="00596706">
        <w:rPr>
          <w:rFonts w:ascii="Century Gothic" w:hAnsi="Century Gothic"/>
          <w:sz w:val="20"/>
          <w:szCs w:val="20"/>
          <w:lang w:val="en-GB"/>
        </w:rPr>
        <w:t>including the P</w:t>
      </w:r>
      <w:r w:rsidR="0003238E">
        <w:rPr>
          <w:rFonts w:ascii="Century Gothic" w:hAnsi="Century Gothic"/>
          <w:sz w:val="20"/>
          <w:szCs w:val="20"/>
          <w:lang w:val="en-GB"/>
        </w:rPr>
        <w:t>oint of Interconnection (P</w:t>
      </w:r>
      <w:r w:rsidR="00596706" w:rsidRPr="00596706">
        <w:rPr>
          <w:rFonts w:ascii="Century Gothic" w:hAnsi="Century Gothic"/>
          <w:sz w:val="20"/>
          <w:szCs w:val="20"/>
          <w:lang w:val="en-GB"/>
        </w:rPr>
        <w:t>WP</w:t>
      </w:r>
      <w:r w:rsidR="0003238E">
        <w:rPr>
          <w:rFonts w:ascii="Century Gothic" w:hAnsi="Century Gothic"/>
          <w:sz w:val="20"/>
          <w:szCs w:val="20"/>
          <w:lang w:val="en-GB"/>
        </w:rPr>
        <w:t>)</w:t>
      </w:r>
      <w:r w:rsidR="00596706" w:rsidRPr="00596706">
        <w:rPr>
          <w:rFonts w:ascii="Century Gothic" w:hAnsi="Century Gothic"/>
          <w:sz w:val="20"/>
          <w:szCs w:val="20"/>
          <w:lang w:val="en-GB"/>
        </w:rPr>
        <w:t xml:space="preserve"> point and the entry point from the LNG </w:t>
      </w:r>
      <w:r w:rsidR="00596706">
        <w:rPr>
          <w:rFonts w:ascii="Century Gothic" w:hAnsi="Century Gothic"/>
          <w:sz w:val="20"/>
          <w:szCs w:val="20"/>
          <w:lang w:val="en-GB"/>
        </w:rPr>
        <w:t>T</w:t>
      </w:r>
      <w:r w:rsidR="00596706" w:rsidRPr="00596706">
        <w:rPr>
          <w:rFonts w:ascii="Century Gothic" w:hAnsi="Century Gothic"/>
          <w:sz w:val="20"/>
          <w:szCs w:val="20"/>
          <w:lang w:val="en-GB"/>
        </w:rPr>
        <w:t>erminal</w:t>
      </w:r>
      <w:r w:rsidRPr="00164D2D">
        <w:rPr>
          <w:rFonts w:ascii="Century Gothic" w:hAnsi="Century Gothic"/>
          <w:sz w:val="20"/>
          <w:szCs w:val="20"/>
          <w:lang w:val="en-GB"/>
        </w:rPr>
        <w:t>,</w:t>
      </w:r>
    </w:p>
    <w:p w14:paraId="77317CC8" w14:textId="0EC4AB57" w:rsidR="00B2034F" w:rsidRPr="00164D2D" w:rsidRDefault="00B2034F" w:rsidP="00164D2D">
      <w:pPr>
        <w:pStyle w:val="Akapitzlist"/>
        <w:numPr>
          <w:ilvl w:val="0"/>
          <w:numId w:val="3"/>
        </w:numPr>
        <w:autoSpaceDE w:val="0"/>
        <w:autoSpaceDN w:val="0"/>
        <w:adjustRightInd w:val="0"/>
        <w:spacing w:after="0" w:line="360" w:lineRule="auto"/>
        <w:jc w:val="both"/>
        <w:rPr>
          <w:rFonts w:ascii="Century Gothic" w:hAnsi="Century Gothic"/>
          <w:sz w:val="20"/>
          <w:szCs w:val="20"/>
          <w:lang w:val="en-GB"/>
        </w:rPr>
      </w:pPr>
      <w:r w:rsidRPr="008C6DC5">
        <w:rPr>
          <w:rFonts w:ascii="Century Gothic" w:hAnsi="Century Gothic"/>
          <w:b/>
          <w:bCs/>
          <w:sz w:val="20"/>
          <w:szCs w:val="20"/>
          <w:lang w:val="en-GB"/>
        </w:rPr>
        <w:t>2%</w:t>
      </w:r>
      <w:r w:rsidRPr="00164D2D">
        <w:rPr>
          <w:rFonts w:ascii="Century Gothic" w:hAnsi="Century Gothic"/>
          <w:sz w:val="20"/>
          <w:szCs w:val="20"/>
          <w:lang w:val="en-GB"/>
        </w:rPr>
        <w:t xml:space="preserve"> for annual, quarterly, monthly, daily and within-day standard capacity products for</w:t>
      </w:r>
      <w:r w:rsidR="00AB1C60">
        <w:rPr>
          <w:rFonts w:ascii="Century Gothic" w:hAnsi="Century Gothic"/>
          <w:sz w:val="20"/>
          <w:szCs w:val="20"/>
          <w:lang w:val="en-GB"/>
        </w:rPr>
        <w:t> </w:t>
      </w:r>
      <w:r w:rsidRPr="00164D2D">
        <w:rPr>
          <w:rFonts w:ascii="Century Gothic" w:hAnsi="Century Gothic"/>
          <w:sz w:val="20"/>
          <w:szCs w:val="20"/>
          <w:lang w:val="en-GB"/>
        </w:rPr>
        <w:t>E-gas and L-gas offered at internal entry/exit points</w:t>
      </w:r>
      <w:r w:rsidR="00164D2D">
        <w:rPr>
          <w:rFonts w:ascii="Century Gothic" w:hAnsi="Century Gothic"/>
          <w:sz w:val="20"/>
          <w:szCs w:val="20"/>
          <w:lang w:val="en-GB"/>
        </w:rPr>
        <w:t xml:space="preserve">. </w:t>
      </w:r>
    </w:p>
    <w:p w14:paraId="7C98C252" w14:textId="77777777" w:rsidR="00B2034F" w:rsidRDefault="00B2034F" w:rsidP="00164D2D">
      <w:pPr>
        <w:spacing w:line="360" w:lineRule="auto"/>
        <w:jc w:val="both"/>
        <w:rPr>
          <w:rFonts w:ascii="Century Gothic" w:hAnsi="Century Gothic"/>
          <w:sz w:val="20"/>
          <w:szCs w:val="20"/>
          <w:lang w:val="en-GB"/>
        </w:rPr>
      </w:pPr>
    </w:p>
    <w:p w14:paraId="0D9956A4" w14:textId="04C9CFEA" w:rsidR="00B2034F" w:rsidRPr="00164D2D" w:rsidRDefault="00164D2D" w:rsidP="00164D2D">
      <w:pPr>
        <w:autoSpaceDE w:val="0"/>
        <w:autoSpaceDN w:val="0"/>
        <w:adjustRightInd w:val="0"/>
        <w:spacing w:after="0" w:line="360" w:lineRule="auto"/>
        <w:jc w:val="both"/>
        <w:rPr>
          <w:rFonts w:ascii="Century Gothic" w:hAnsi="Century Gothic"/>
          <w:sz w:val="20"/>
          <w:szCs w:val="20"/>
          <w:lang w:val="en-GB"/>
        </w:rPr>
      </w:pPr>
      <w:r w:rsidRPr="00C03A3F">
        <w:rPr>
          <w:rFonts w:ascii="Century Gothic" w:hAnsi="Century Gothic"/>
          <w:sz w:val="20"/>
          <w:szCs w:val="20"/>
          <w:lang w:val="en-GB"/>
        </w:rPr>
        <w:t xml:space="preserve">The probability of transmission service interruption was estimated based on data concerning capacity </w:t>
      </w:r>
      <w:r w:rsidRPr="00117CD2">
        <w:rPr>
          <w:rFonts w:ascii="Century Gothic" w:hAnsi="Century Gothic"/>
          <w:sz w:val="20"/>
          <w:szCs w:val="20"/>
          <w:lang w:val="en-GB"/>
        </w:rPr>
        <w:t xml:space="preserve">bookings in the period from </w:t>
      </w:r>
      <w:r w:rsidRPr="00CA21FB">
        <w:rPr>
          <w:rFonts w:ascii="Century Gothic" w:hAnsi="Century Gothic"/>
          <w:sz w:val="20"/>
          <w:szCs w:val="20"/>
          <w:lang w:val="en-GB"/>
        </w:rPr>
        <w:t xml:space="preserve">1 </w:t>
      </w:r>
      <w:r w:rsidR="005853B7" w:rsidRPr="00CA21FB">
        <w:rPr>
          <w:rFonts w:ascii="Century Gothic" w:hAnsi="Century Gothic"/>
          <w:sz w:val="20"/>
          <w:szCs w:val="20"/>
          <w:lang w:val="en-GB"/>
        </w:rPr>
        <w:t>July</w:t>
      </w:r>
      <w:r w:rsidR="000D5D8F" w:rsidRPr="00CA21FB">
        <w:rPr>
          <w:rFonts w:ascii="Century Gothic" w:hAnsi="Century Gothic"/>
          <w:sz w:val="20"/>
          <w:szCs w:val="20"/>
          <w:lang w:val="en-GB"/>
        </w:rPr>
        <w:t xml:space="preserve"> </w:t>
      </w:r>
      <w:r w:rsidR="008A72B4" w:rsidRPr="00CA21FB">
        <w:rPr>
          <w:rFonts w:ascii="Century Gothic" w:hAnsi="Century Gothic"/>
          <w:sz w:val="20"/>
          <w:szCs w:val="20"/>
          <w:lang w:val="en-GB"/>
        </w:rPr>
        <w:t>202</w:t>
      </w:r>
      <w:r w:rsidR="00CA21FB" w:rsidRPr="00CA21FB">
        <w:rPr>
          <w:rFonts w:ascii="Century Gothic" w:hAnsi="Century Gothic"/>
          <w:sz w:val="20"/>
          <w:szCs w:val="20"/>
          <w:lang w:val="en-GB"/>
        </w:rPr>
        <w:t>4</w:t>
      </w:r>
      <w:r w:rsidR="008A72B4" w:rsidRPr="00CA21FB">
        <w:rPr>
          <w:rFonts w:ascii="Century Gothic" w:hAnsi="Century Gothic"/>
          <w:sz w:val="20"/>
          <w:szCs w:val="20"/>
          <w:lang w:val="en-GB"/>
        </w:rPr>
        <w:t xml:space="preserve"> </w:t>
      </w:r>
      <w:r w:rsidRPr="00CA21FB">
        <w:rPr>
          <w:rFonts w:ascii="Century Gothic" w:hAnsi="Century Gothic"/>
          <w:sz w:val="20"/>
          <w:szCs w:val="20"/>
          <w:lang w:val="en-GB"/>
        </w:rPr>
        <w:t>to 3</w:t>
      </w:r>
      <w:r w:rsidR="005853B7" w:rsidRPr="00CA21FB">
        <w:rPr>
          <w:rFonts w:ascii="Century Gothic" w:hAnsi="Century Gothic"/>
          <w:sz w:val="20"/>
          <w:szCs w:val="20"/>
          <w:lang w:val="en-GB"/>
        </w:rPr>
        <w:t xml:space="preserve">0 June </w:t>
      </w:r>
      <w:r w:rsidR="008A72B4" w:rsidRPr="00CA21FB">
        <w:rPr>
          <w:rFonts w:ascii="Century Gothic" w:hAnsi="Century Gothic"/>
          <w:sz w:val="20"/>
          <w:szCs w:val="20"/>
          <w:lang w:val="en-GB"/>
        </w:rPr>
        <w:t>202</w:t>
      </w:r>
      <w:r w:rsidR="00CA21FB" w:rsidRPr="00CA21FB">
        <w:rPr>
          <w:rFonts w:ascii="Century Gothic" w:hAnsi="Century Gothic"/>
          <w:sz w:val="20"/>
          <w:szCs w:val="20"/>
          <w:lang w:val="en-GB"/>
        </w:rPr>
        <w:t>5</w:t>
      </w:r>
      <w:r w:rsidRPr="00117CD2">
        <w:rPr>
          <w:rFonts w:ascii="Century Gothic" w:hAnsi="Century Gothic"/>
          <w:sz w:val="20"/>
          <w:szCs w:val="20"/>
          <w:lang w:val="en-GB"/>
        </w:rPr>
        <w:t>, in accordance with the</w:t>
      </w:r>
      <w:r w:rsidR="00B2240D">
        <w:rPr>
          <w:rFonts w:ascii="Century Gothic" w:hAnsi="Century Gothic"/>
          <w:sz w:val="20"/>
          <w:szCs w:val="20"/>
          <w:lang w:val="en-GB"/>
        </w:rPr>
        <w:t> </w:t>
      </w:r>
      <w:r w:rsidRPr="00117CD2">
        <w:rPr>
          <w:rFonts w:ascii="Century Gothic" w:hAnsi="Century Gothic"/>
          <w:sz w:val="20"/>
          <w:szCs w:val="20"/>
          <w:lang w:val="en-GB"/>
        </w:rPr>
        <w:t>methodology described in Article 16(2)-(3) of the Tariff Network Code.</w:t>
      </w:r>
    </w:p>
    <w:p w14:paraId="547F26FE" w14:textId="77777777" w:rsidR="000B3C39" w:rsidRPr="00672DDA" w:rsidRDefault="000B3C39" w:rsidP="00537B3F">
      <w:pPr>
        <w:jc w:val="both"/>
        <w:rPr>
          <w:rFonts w:ascii="Century Gothic" w:hAnsi="Century Gothic"/>
          <w:sz w:val="18"/>
          <w:szCs w:val="18"/>
          <w:lang w:val="en-GB"/>
        </w:rPr>
      </w:pPr>
    </w:p>
    <w:sectPr w:rsidR="000B3C39" w:rsidRPr="00672DDA">
      <w:headerReference w:type="default" r:id="rId12"/>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9947EC" w14:textId="77777777" w:rsidR="002341E8" w:rsidRDefault="002341E8" w:rsidP="00A277F4">
      <w:pPr>
        <w:spacing w:after="0" w:line="240" w:lineRule="auto"/>
      </w:pPr>
      <w:r>
        <w:separator/>
      </w:r>
    </w:p>
  </w:endnote>
  <w:endnote w:type="continuationSeparator" w:id="0">
    <w:p w14:paraId="4695C3A5" w14:textId="77777777" w:rsidR="002341E8" w:rsidRDefault="002341E8" w:rsidP="00A277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DEB573" w14:textId="77777777" w:rsidR="00715895" w:rsidRPr="00715895" w:rsidRDefault="00715895">
    <w:pPr>
      <w:pStyle w:val="Stopka"/>
      <w:jc w:val="center"/>
      <w:rPr>
        <w:rFonts w:ascii="Century Gothic" w:hAnsi="Century Gothic"/>
        <w:color w:val="808080" w:themeColor="background1" w:themeShade="80"/>
        <w:sz w:val="18"/>
        <w:szCs w:val="18"/>
      </w:rPr>
    </w:pPr>
    <w:proofErr w:type="spellStart"/>
    <w:r w:rsidRPr="00715895">
      <w:rPr>
        <w:rFonts w:ascii="Century Gothic" w:hAnsi="Century Gothic"/>
        <w:color w:val="808080" w:themeColor="background1" w:themeShade="80"/>
        <w:sz w:val="18"/>
        <w:szCs w:val="18"/>
      </w:rPr>
      <w:t>Page</w:t>
    </w:r>
    <w:proofErr w:type="spellEnd"/>
    <w:r w:rsidRPr="00715895">
      <w:rPr>
        <w:rFonts w:ascii="Century Gothic" w:hAnsi="Century Gothic"/>
        <w:color w:val="808080" w:themeColor="background1" w:themeShade="80"/>
        <w:sz w:val="18"/>
        <w:szCs w:val="18"/>
      </w:rPr>
      <w:t xml:space="preserve"> </w:t>
    </w:r>
    <w:r w:rsidRPr="00715895">
      <w:rPr>
        <w:rFonts w:ascii="Century Gothic" w:hAnsi="Century Gothic"/>
        <w:color w:val="808080" w:themeColor="background1" w:themeShade="80"/>
        <w:sz w:val="18"/>
        <w:szCs w:val="18"/>
      </w:rPr>
      <w:fldChar w:fldCharType="begin"/>
    </w:r>
    <w:r w:rsidRPr="00715895">
      <w:rPr>
        <w:rFonts w:ascii="Century Gothic" w:hAnsi="Century Gothic"/>
        <w:color w:val="808080" w:themeColor="background1" w:themeShade="80"/>
        <w:sz w:val="18"/>
        <w:szCs w:val="18"/>
      </w:rPr>
      <w:instrText>PAGE  \* Arabic  \* MERGEFORMAT</w:instrText>
    </w:r>
    <w:r w:rsidRPr="00715895">
      <w:rPr>
        <w:rFonts w:ascii="Century Gothic" w:hAnsi="Century Gothic"/>
        <w:color w:val="808080" w:themeColor="background1" w:themeShade="80"/>
        <w:sz w:val="18"/>
        <w:szCs w:val="18"/>
      </w:rPr>
      <w:fldChar w:fldCharType="separate"/>
    </w:r>
    <w:r w:rsidRPr="00715895">
      <w:rPr>
        <w:rFonts w:ascii="Century Gothic" w:hAnsi="Century Gothic"/>
        <w:color w:val="808080" w:themeColor="background1" w:themeShade="80"/>
        <w:sz w:val="18"/>
        <w:szCs w:val="18"/>
      </w:rPr>
      <w:t>2</w:t>
    </w:r>
    <w:r w:rsidRPr="00715895">
      <w:rPr>
        <w:rFonts w:ascii="Century Gothic" w:hAnsi="Century Gothic"/>
        <w:color w:val="808080" w:themeColor="background1" w:themeShade="80"/>
        <w:sz w:val="18"/>
        <w:szCs w:val="18"/>
      </w:rPr>
      <w:fldChar w:fldCharType="end"/>
    </w:r>
    <w:r w:rsidRPr="00715895">
      <w:rPr>
        <w:rFonts w:ascii="Century Gothic" w:hAnsi="Century Gothic"/>
        <w:color w:val="808080" w:themeColor="background1" w:themeShade="80"/>
        <w:sz w:val="18"/>
        <w:szCs w:val="18"/>
      </w:rPr>
      <w:t xml:space="preserve"> / </w:t>
    </w:r>
    <w:r w:rsidRPr="00715895">
      <w:rPr>
        <w:rFonts w:ascii="Century Gothic" w:hAnsi="Century Gothic"/>
        <w:color w:val="808080" w:themeColor="background1" w:themeShade="80"/>
        <w:sz w:val="18"/>
        <w:szCs w:val="18"/>
      </w:rPr>
      <w:fldChar w:fldCharType="begin"/>
    </w:r>
    <w:r w:rsidRPr="00715895">
      <w:rPr>
        <w:rFonts w:ascii="Century Gothic" w:hAnsi="Century Gothic"/>
        <w:color w:val="808080" w:themeColor="background1" w:themeShade="80"/>
        <w:sz w:val="18"/>
        <w:szCs w:val="18"/>
      </w:rPr>
      <w:instrText>NUMPAGES \ * arabskie \ * MERGEFORMAT</w:instrText>
    </w:r>
    <w:r w:rsidRPr="00715895">
      <w:rPr>
        <w:rFonts w:ascii="Century Gothic" w:hAnsi="Century Gothic"/>
        <w:color w:val="808080" w:themeColor="background1" w:themeShade="80"/>
        <w:sz w:val="18"/>
        <w:szCs w:val="18"/>
      </w:rPr>
      <w:fldChar w:fldCharType="separate"/>
    </w:r>
    <w:r w:rsidRPr="00715895">
      <w:rPr>
        <w:rFonts w:ascii="Century Gothic" w:hAnsi="Century Gothic"/>
        <w:color w:val="808080" w:themeColor="background1" w:themeShade="80"/>
        <w:sz w:val="18"/>
        <w:szCs w:val="18"/>
      </w:rPr>
      <w:t>2</w:t>
    </w:r>
    <w:r w:rsidRPr="00715895">
      <w:rPr>
        <w:rFonts w:ascii="Century Gothic" w:hAnsi="Century Gothic"/>
        <w:color w:val="808080" w:themeColor="background1" w:themeShade="80"/>
        <w:sz w:val="18"/>
        <w:szCs w:val="18"/>
      </w:rPr>
      <w:fldChar w:fldCharType="end"/>
    </w:r>
  </w:p>
  <w:p w14:paraId="47E3CF0C" w14:textId="77777777" w:rsidR="00715895" w:rsidRPr="00715895" w:rsidRDefault="00715895">
    <w:pPr>
      <w:pStyle w:val="Stopka"/>
      <w:rPr>
        <w:rFonts w:ascii="Century Gothic" w:hAnsi="Century Gothic"/>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DBE674" w14:textId="77777777" w:rsidR="002341E8" w:rsidRDefault="002341E8" w:rsidP="00A277F4">
      <w:pPr>
        <w:spacing w:after="0" w:line="240" w:lineRule="auto"/>
      </w:pPr>
      <w:r>
        <w:separator/>
      </w:r>
    </w:p>
  </w:footnote>
  <w:footnote w:type="continuationSeparator" w:id="0">
    <w:p w14:paraId="2FA4DC86" w14:textId="77777777" w:rsidR="002341E8" w:rsidRDefault="002341E8" w:rsidP="00A277F4">
      <w:pPr>
        <w:spacing w:after="0" w:line="240" w:lineRule="auto"/>
      </w:pPr>
      <w:r>
        <w:continuationSeparator/>
      </w:r>
    </w:p>
  </w:footnote>
  <w:footnote w:id="1">
    <w:p w14:paraId="3C6A3835" w14:textId="3AB895B2" w:rsidR="00A277F4" w:rsidRPr="00715895" w:rsidRDefault="00A277F4" w:rsidP="00A277F4">
      <w:pPr>
        <w:pStyle w:val="Tekstprzypisudolnego"/>
        <w:ind w:left="142" w:hanging="142"/>
        <w:jc w:val="both"/>
        <w:rPr>
          <w:rFonts w:ascii="Century Gothic" w:hAnsi="Century Gothic"/>
          <w:sz w:val="18"/>
          <w:szCs w:val="18"/>
          <w:lang w:val="en-GB"/>
        </w:rPr>
      </w:pPr>
      <w:r w:rsidRPr="00715895">
        <w:rPr>
          <w:rStyle w:val="Odwoanieprzypisudolnego"/>
          <w:rFonts w:ascii="Century Gothic" w:hAnsi="Century Gothic"/>
          <w:sz w:val="18"/>
          <w:szCs w:val="18"/>
        </w:rPr>
        <w:footnoteRef/>
      </w:r>
      <w:r w:rsidRPr="00715895">
        <w:rPr>
          <w:rFonts w:ascii="Century Gothic" w:hAnsi="Century Gothic"/>
          <w:sz w:val="18"/>
          <w:szCs w:val="18"/>
          <w:lang w:val="en-GB"/>
        </w:rPr>
        <w:t xml:space="preserve"> </w:t>
      </w:r>
      <w:r w:rsidR="00B33577" w:rsidRPr="00715895">
        <w:rPr>
          <w:rFonts w:ascii="Century Gothic" w:hAnsi="Century Gothic"/>
          <w:sz w:val="18"/>
          <w:szCs w:val="18"/>
          <w:lang w:val="en-GB"/>
        </w:rPr>
        <w:t xml:space="preserve">Commission Regulation (EU) 2017/460 of 16 March 2017 establishing a network code on harmonised transmission tariff structures for </w:t>
      </w:r>
      <w:r w:rsidR="006641CE" w:rsidRPr="00715895">
        <w:rPr>
          <w:rFonts w:ascii="Century Gothic" w:hAnsi="Century Gothic"/>
          <w:sz w:val="18"/>
          <w:szCs w:val="18"/>
          <w:lang w:val="en-GB"/>
        </w:rPr>
        <w:t>gas.</w:t>
      </w:r>
      <w:r w:rsidR="00B33577" w:rsidRPr="00715895">
        <w:rPr>
          <w:sz w:val="18"/>
          <w:szCs w:val="18"/>
          <w:lang w:val="en-GB"/>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6AF612" w14:textId="69BE8E74" w:rsidR="001720E0" w:rsidRPr="00334EFD" w:rsidRDefault="001720E0" w:rsidP="001720E0">
    <w:pPr>
      <w:pStyle w:val="Nagwek"/>
      <w:rPr>
        <w:rFonts w:ascii="Century Gothic" w:hAnsi="Century Gothic"/>
        <w:sz w:val="16"/>
        <w:szCs w:val="16"/>
        <w:lang w:val="en-GB"/>
      </w:rPr>
    </w:pPr>
    <w:r w:rsidRPr="00B33577">
      <w:rPr>
        <w:rFonts w:ascii="Century Gothic" w:hAnsi="Century Gothic"/>
        <w:sz w:val="16"/>
        <w:szCs w:val="16"/>
        <w:lang w:val="en-GB"/>
      </w:rPr>
      <w:t>Publi</w:t>
    </w:r>
    <w:r w:rsidR="00B33577" w:rsidRPr="00B33577">
      <w:rPr>
        <w:rFonts w:ascii="Century Gothic" w:hAnsi="Century Gothic"/>
        <w:sz w:val="16"/>
        <w:szCs w:val="16"/>
        <w:lang w:val="en-GB"/>
      </w:rPr>
      <w:t>cation</w:t>
    </w:r>
    <w:r w:rsidRPr="00B33577">
      <w:rPr>
        <w:rFonts w:ascii="Century Gothic" w:hAnsi="Century Gothic"/>
        <w:sz w:val="16"/>
        <w:szCs w:val="16"/>
        <w:lang w:val="en-GB"/>
      </w:rPr>
      <w:t xml:space="preserve"> – art</w:t>
    </w:r>
    <w:r w:rsidR="00B33577" w:rsidRPr="00B33577">
      <w:rPr>
        <w:rFonts w:ascii="Century Gothic" w:hAnsi="Century Gothic"/>
        <w:sz w:val="16"/>
        <w:szCs w:val="16"/>
        <w:lang w:val="en-GB"/>
      </w:rPr>
      <w:t>icle</w:t>
    </w:r>
    <w:r w:rsidRPr="00B33577">
      <w:rPr>
        <w:rFonts w:ascii="Century Gothic" w:hAnsi="Century Gothic"/>
        <w:sz w:val="16"/>
        <w:szCs w:val="16"/>
        <w:lang w:val="en-GB"/>
      </w:rPr>
      <w:t xml:space="preserve"> 29 TAR</w:t>
    </w:r>
    <w:r w:rsidR="00334EFD">
      <w:rPr>
        <w:rFonts w:ascii="Century Gothic" w:hAnsi="Century Gothic"/>
        <w:sz w:val="16"/>
        <w:szCs w:val="16"/>
        <w:lang w:val="en-GB"/>
      </w:rPr>
      <w:t xml:space="preserve"> </w:t>
    </w:r>
    <w:r w:rsidR="00334EFD" w:rsidRPr="00590A53">
      <w:rPr>
        <w:rFonts w:ascii="Century Gothic" w:hAnsi="Century Gothic"/>
        <w:sz w:val="16"/>
        <w:szCs w:val="16"/>
        <w:lang w:val="en-GB"/>
      </w:rPr>
      <w:t>NC</w:t>
    </w:r>
    <w:r w:rsidRPr="00590A53">
      <w:rPr>
        <w:rFonts w:ascii="Century Gothic" w:hAnsi="Century Gothic"/>
        <w:sz w:val="16"/>
        <w:szCs w:val="16"/>
        <w:lang w:val="en-GB"/>
      </w:rPr>
      <w:t xml:space="preserve"> </w:t>
    </w:r>
    <w:r w:rsidRPr="00432AF8">
      <w:rPr>
        <w:rFonts w:ascii="Century Gothic" w:hAnsi="Century Gothic"/>
        <w:sz w:val="16"/>
        <w:szCs w:val="16"/>
        <w:lang w:val="en-GB"/>
      </w:rPr>
      <w:t xml:space="preserve">– </w:t>
    </w:r>
    <w:r w:rsidR="00432AF8" w:rsidRPr="00432AF8">
      <w:rPr>
        <w:rFonts w:ascii="Century Gothic" w:hAnsi="Century Gothic"/>
        <w:sz w:val="16"/>
        <w:szCs w:val="16"/>
        <w:lang w:val="en-GB"/>
      </w:rPr>
      <w:t>3</w:t>
    </w:r>
    <w:r w:rsidR="0007216F" w:rsidRPr="00432AF8">
      <w:rPr>
        <w:rFonts w:ascii="Century Gothic" w:hAnsi="Century Gothic"/>
        <w:sz w:val="16"/>
        <w:szCs w:val="16"/>
        <w:vertAlign w:val="superscript"/>
        <w:lang w:val="en-GB"/>
      </w:rPr>
      <w:t>rd</w:t>
    </w:r>
    <w:r w:rsidR="0007216F" w:rsidRPr="00432AF8">
      <w:rPr>
        <w:rFonts w:ascii="Century Gothic" w:hAnsi="Century Gothic"/>
        <w:sz w:val="16"/>
        <w:szCs w:val="16"/>
        <w:lang w:val="en-GB"/>
      </w:rPr>
      <w:t xml:space="preserve"> </w:t>
    </w:r>
    <w:r w:rsidR="00F561AE" w:rsidRPr="00432AF8">
      <w:rPr>
        <w:rFonts w:ascii="Century Gothic" w:hAnsi="Century Gothic"/>
        <w:sz w:val="16"/>
        <w:szCs w:val="16"/>
        <w:lang w:val="en-GB"/>
      </w:rPr>
      <w:t xml:space="preserve">of </w:t>
    </w:r>
    <w:r w:rsidR="00B40A46" w:rsidRPr="00432AF8">
      <w:rPr>
        <w:rFonts w:ascii="Century Gothic" w:hAnsi="Century Gothic"/>
        <w:sz w:val="16"/>
        <w:szCs w:val="16"/>
        <w:lang w:val="en-GB"/>
      </w:rPr>
      <w:t>June</w:t>
    </w:r>
    <w:r w:rsidR="00CF00EE" w:rsidRPr="00432AF8">
      <w:rPr>
        <w:rFonts w:ascii="Century Gothic" w:hAnsi="Century Gothic"/>
        <w:sz w:val="16"/>
        <w:szCs w:val="16"/>
        <w:lang w:val="en-GB"/>
      </w:rPr>
      <w:t xml:space="preserve"> </w:t>
    </w:r>
    <w:r w:rsidR="00F561AE" w:rsidRPr="00432AF8">
      <w:rPr>
        <w:rFonts w:ascii="Century Gothic" w:hAnsi="Century Gothic"/>
        <w:sz w:val="16"/>
        <w:szCs w:val="16"/>
        <w:lang w:val="en-GB"/>
      </w:rPr>
      <w:t>202</w:t>
    </w:r>
    <w:r w:rsidR="00265482" w:rsidRPr="00432AF8">
      <w:rPr>
        <w:rFonts w:ascii="Century Gothic" w:hAnsi="Century Gothic"/>
        <w:sz w:val="16"/>
        <w:szCs w:val="16"/>
        <w:lang w:val="en-GB"/>
      </w:rPr>
      <w:t>6</w:t>
    </w:r>
    <w:r w:rsidR="00F561AE" w:rsidRPr="00B33577">
      <w:rPr>
        <w:noProof/>
        <w:lang w:val="en-GB"/>
      </w:rPr>
      <w:t xml:space="preserve">                                             </w:t>
    </w:r>
  </w:p>
  <w:p w14:paraId="066EE3B7" w14:textId="77777777" w:rsidR="00A277F4" w:rsidRPr="00B33577" w:rsidRDefault="001720E0" w:rsidP="001720E0">
    <w:pPr>
      <w:pStyle w:val="Nagwek"/>
      <w:rPr>
        <w:noProof/>
        <w:lang w:val="en-GB"/>
      </w:rPr>
    </w:pPr>
    <w:r w:rsidRPr="00B33577">
      <w:rPr>
        <w:noProof/>
        <w:lang w:val="en-GB"/>
      </w:rPr>
      <w:tab/>
    </w:r>
    <w:r w:rsidRPr="00B33577">
      <w:rPr>
        <w:noProof/>
        <w:lang w:val="en-GB"/>
      </w:rPr>
      <w:tab/>
    </w:r>
    <w:r w:rsidRPr="00B33577">
      <w:rPr>
        <w:noProof/>
        <w:lang w:val="en-GB"/>
      </w:rPr>
      <w:tab/>
      <w:t xml:space="preserve">    </w:t>
    </w:r>
  </w:p>
  <w:p w14:paraId="6722886B" w14:textId="77777777" w:rsidR="00A277F4" w:rsidRPr="00B33577" w:rsidRDefault="00A277F4">
    <w:pPr>
      <w:pStyle w:val="Nagwek"/>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82F98"/>
    <w:multiLevelType w:val="hybridMultilevel"/>
    <w:tmpl w:val="D4265ADC"/>
    <w:lvl w:ilvl="0" w:tplc="DD1AF31A">
      <w:numFmt w:val="bullet"/>
      <w:lvlText w:val=""/>
      <w:lvlJc w:val="left"/>
      <w:pPr>
        <w:ind w:left="720" w:hanging="360"/>
      </w:pPr>
      <w:rPr>
        <w:rFonts w:ascii="Symbol" w:eastAsiaTheme="minorHAnsi" w:hAnsi="Symbol"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3F5C70F4"/>
    <w:multiLevelType w:val="hybridMultilevel"/>
    <w:tmpl w:val="3754F8BC"/>
    <w:lvl w:ilvl="0" w:tplc="04150005">
      <w:start w:val="1"/>
      <w:numFmt w:val="bullet"/>
      <w:lvlText w:val=""/>
      <w:lvlJc w:val="left"/>
      <w:pPr>
        <w:ind w:left="775" w:hanging="360"/>
      </w:pPr>
      <w:rPr>
        <w:rFonts w:ascii="Wingdings" w:hAnsi="Wingdings" w:hint="default"/>
      </w:rPr>
    </w:lvl>
    <w:lvl w:ilvl="1" w:tplc="04150003" w:tentative="1">
      <w:start w:val="1"/>
      <w:numFmt w:val="bullet"/>
      <w:lvlText w:val="o"/>
      <w:lvlJc w:val="left"/>
      <w:pPr>
        <w:ind w:left="1495" w:hanging="360"/>
      </w:pPr>
      <w:rPr>
        <w:rFonts w:ascii="Courier New" w:hAnsi="Courier New" w:cs="Courier New" w:hint="default"/>
      </w:rPr>
    </w:lvl>
    <w:lvl w:ilvl="2" w:tplc="04150005" w:tentative="1">
      <w:start w:val="1"/>
      <w:numFmt w:val="bullet"/>
      <w:lvlText w:val=""/>
      <w:lvlJc w:val="left"/>
      <w:pPr>
        <w:ind w:left="2215" w:hanging="360"/>
      </w:pPr>
      <w:rPr>
        <w:rFonts w:ascii="Wingdings" w:hAnsi="Wingdings" w:hint="default"/>
      </w:rPr>
    </w:lvl>
    <w:lvl w:ilvl="3" w:tplc="04150001" w:tentative="1">
      <w:start w:val="1"/>
      <w:numFmt w:val="bullet"/>
      <w:lvlText w:val=""/>
      <w:lvlJc w:val="left"/>
      <w:pPr>
        <w:ind w:left="2935" w:hanging="360"/>
      </w:pPr>
      <w:rPr>
        <w:rFonts w:ascii="Symbol" w:hAnsi="Symbol" w:hint="default"/>
      </w:rPr>
    </w:lvl>
    <w:lvl w:ilvl="4" w:tplc="04150003" w:tentative="1">
      <w:start w:val="1"/>
      <w:numFmt w:val="bullet"/>
      <w:lvlText w:val="o"/>
      <w:lvlJc w:val="left"/>
      <w:pPr>
        <w:ind w:left="3655" w:hanging="360"/>
      </w:pPr>
      <w:rPr>
        <w:rFonts w:ascii="Courier New" w:hAnsi="Courier New" w:cs="Courier New" w:hint="default"/>
      </w:rPr>
    </w:lvl>
    <w:lvl w:ilvl="5" w:tplc="04150005" w:tentative="1">
      <w:start w:val="1"/>
      <w:numFmt w:val="bullet"/>
      <w:lvlText w:val=""/>
      <w:lvlJc w:val="left"/>
      <w:pPr>
        <w:ind w:left="4375" w:hanging="360"/>
      </w:pPr>
      <w:rPr>
        <w:rFonts w:ascii="Wingdings" w:hAnsi="Wingdings" w:hint="default"/>
      </w:rPr>
    </w:lvl>
    <w:lvl w:ilvl="6" w:tplc="04150001" w:tentative="1">
      <w:start w:val="1"/>
      <w:numFmt w:val="bullet"/>
      <w:lvlText w:val=""/>
      <w:lvlJc w:val="left"/>
      <w:pPr>
        <w:ind w:left="5095" w:hanging="360"/>
      </w:pPr>
      <w:rPr>
        <w:rFonts w:ascii="Symbol" w:hAnsi="Symbol" w:hint="default"/>
      </w:rPr>
    </w:lvl>
    <w:lvl w:ilvl="7" w:tplc="04150003" w:tentative="1">
      <w:start w:val="1"/>
      <w:numFmt w:val="bullet"/>
      <w:lvlText w:val="o"/>
      <w:lvlJc w:val="left"/>
      <w:pPr>
        <w:ind w:left="5815" w:hanging="360"/>
      </w:pPr>
      <w:rPr>
        <w:rFonts w:ascii="Courier New" w:hAnsi="Courier New" w:cs="Courier New" w:hint="default"/>
      </w:rPr>
    </w:lvl>
    <w:lvl w:ilvl="8" w:tplc="04150005" w:tentative="1">
      <w:start w:val="1"/>
      <w:numFmt w:val="bullet"/>
      <w:lvlText w:val=""/>
      <w:lvlJc w:val="left"/>
      <w:pPr>
        <w:ind w:left="6535" w:hanging="360"/>
      </w:pPr>
      <w:rPr>
        <w:rFonts w:ascii="Wingdings" w:hAnsi="Wingdings" w:hint="default"/>
      </w:rPr>
    </w:lvl>
  </w:abstractNum>
  <w:abstractNum w:abstractNumId="2" w15:restartNumberingAfterBreak="0">
    <w:nsid w:val="58667A19"/>
    <w:multiLevelType w:val="hybridMultilevel"/>
    <w:tmpl w:val="7F5C6640"/>
    <w:lvl w:ilvl="0" w:tplc="1F7C553E">
      <w:start w:val="1"/>
      <w:numFmt w:val="decimal"/>
      <w:lvlText w:val="%1."/>
      <w:lvlJc w:val="left"/>
      <w:pPr>
        <w:ind w:left="644" w:hanging="360"/>
      </w:pPr>
      <w:rPr>
        <w:b/>
        <w:bCs w:val="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 w15:restartNumberingAfterBreak="0">
    <w:nsid w:val="7E0277C9"/>
    <w:multiLevelType w:val="hybridMultilevel"/>
    <w:tmpl w:val="CA2230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775326096">
    <w:abstractNumId w:val="2"/>
  </w:num>
  <w:num w:numId="2" w16cid:durableId="964576888">
    <w:abstractNumId w:val="0"/>
  </w:num>
  <w:num w:numId="3" w16cid:durableId="1396932008">
    <w:abstractNumId w:val="3"/>
  </w:num>
  <w:num w:numId="4" w16cid:durableId="82077986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77F4"/>
    <w:rsid w:val="00004C95"/>
    <w:rsid w:val="00011E51"/>
    <w:rsid w:val="00016E03"/>
    <w:rsid w:val="00025A4B"/>
    <w:rsid w:val="0002670B"/>
    <w:rsid w:val="0003238E"/>
    <w:rsid w:val="00033F98"/>
    <w:rsid w:val="00035139"/>
    <w:rsid w:val="00051ABF"/>
    <w:rsid w:val="00053952"/>
    <w:rsid w:val="00060014"/>
    <w:rsid w:val="00067083"/>
    <w:rsid w:val="00071282"/>
    <w:rsid w:val="0007216F"/>
    <w:rsid w:val="00074629"/>
    <w:rsid w:val="00076AD5"/>
    <w:rsid w:val="00080C19"/>
    <w:rsid w:val="000B3C39"/>
    <w:rsid w:val="000D54FF"/>
    <w:rsid w:val="000D5D8F"/>
    <w:rsid w:val="000E76CD"/>
    <w:rsid w:val="000F0172"/>
    <w:rsid w:val="000F4CEF"/>
    <w:rsid w:val="000F5EF9"/>
    <w:rsid w:val="00105251"/>
    <w:rsid w:val="0011367A"/>
    <w:rsid w:val="00116811"/>
    <w:rsid w:val="00117411"/>
    <w:rsid w:val="00117CD2"/>
    <w:rsid w:val="00120BCB"/>
    <w:rsid w:val="00121C54"/>
    <w:rsid w:val="00127440"/>
    <w:rsid w:val="00133A77"/>
    <w:rsid w:val="00164D2D"/>
    <w:rsid w:val="001720E0"/>
    <w:rsid w:val="001A16B9"/>
    <w:rsid w:val="001C2C7B"/>
    <w:rsid w:val="001C64A6"/>
    <w:rsid w:val="001E7D0B"/>
    <w:rsid w:val="001F24E6"/>
    <w:rsid w:val="0022356F"/>
    <w:rsid w:val="002236CE"/>
    <w:rsid w:val="002341E8"/>
    <w:rsid w:val="00236124"/>
    <w:rsid w:val="0024232F"/>
    <w:rsid w:val="00265482"/>
    <w:rsid w:val="002802D7"/>
    <w:rsid w:val="002823B2"/>
    <w:rsid w:val="00283160"/>
    <w:rsid w:val="002A06DE"/>
    <w:rsid w:val="002A1593"/>
    <w:rsid w:val="002A70D2"/>
    <w:rsid w:val="002C2162"/>
    <w:rsid w:val="002D2E8F"/>
    <w:rsid w:val="002E2B8D"/>
    <w:rsid w:val="00301B42"/>
    <w:rsid w:val="003047D3"/>
    <w:rsid w:val="00315A4D"/>
    <w:rsid w:val="00315C60"/>
    <w:rsid w:val="00334EFD"/>
    <w:rsid w:val="003976F7"/>
    <w:rsid w:val="003A2FD3"/>
    <w:rsid w:val="003B0A20"/>
    <w:rsid w:val="003B2A85"/>
    <w:rsid w:val="003E59A1"/>
    <w:rsid w:val="003F0FB3"/>
    <w:rsid w:val="004127E5"/>
    <w:rsid w:val="004324A3"/>
    <w:rsid w:val="00432AF8"/>
    <w:rsid w:val="00434D83"/>
    <w:rsid w:val="00442BD2"/>
    <w:rsid w:val="004669EE"/>
    <w:rsid w:val="004D7709"/>
    <w:rsid w:val="004E0359"/>
    <w:rsid w:val="005021F3"/>
    <w:rsid w:val="00516CF0"/>
    <w:rsid w:val="0052007B"/>
    <w:rsid w:val="00537B3F"/>
    <w:rsid w:val="00565E26"/>
    <w:rsid w:val="005704D5"/>
    <w:rsid w:val="005807F6"/>
    <w:rsid w:val="00581BDA"/>
    <w:rsid w:val="005853B7"/>
    <w:rsid w:val="00590A53"/>
    <w:rsid w:val="00591239"/>
    <w:rsid w:val="00596142"/>
    <w:rsid w:val="00596706"/>
    <w:rsid w:val="005C78A8"/>
    <w:rsid w:val="005D2E77"/>
    <w:rsid w:val="005D33FF"/>
    <w:rsid w:val="005D3DAE"/>
    <w:rsid w:val="005D5333"/>
    <w:rsid w:val="005D73D4"/>
    <w:rsid w:val="005E7ADE"/>
    <w:rsid w:val="00602175"/>
    <w:rsid w:val="00621459"/>
    <w:rsid w:val="0063380F"/>
    <w:rsid w:val="00633A19"/>
    <w:rsid w:val="006401E1"/>
    <w:rsid w:val="0065775B"/>
    <w:rsid w:val="006641CE"/>
    <w:rsid w:val="00672DDA"/>
    <w:rsid w:val="006852A6"/>
    <w:rsid w:val="00685B7E"/>
    <w:rsid w:val="006B322F"/>
    <w:rsid w:val="006C06B2"/>
    <w:rsid w:val="006C1C09"/>
    <w:rsid w:val="006E37A2"/>
    <w:rsid w:val="006F6CB6"/>
    <w:rsid w:val="006F783C"/>
    <w:rsid w:val="00715895"/>
    <w:rsid w:val="007272F6"/>
    <w:rsid w:val="0074063E"/>
    <w:rsid w:val="0074455E"/>
    <w:rsid w:val="00765D84"/>
    <w:rsid w:val="00775B07"/>
    <w:rsid w:val="007A2F1C"/>
    <w:rsid w:val="007C3ADE"/>
    <w:rsid w:val="007E1152"/>
    <w:rsid w:val="007F57E6"/>
    <w:rsid w:val="00817C46"/>
    <w:rsid w:val="00826F38"/>
    <w:rsid w:val="0084369D"/>
    <w:rsid w:val="00851EF5"/>
    <w:rsid w:val="00861E63"/>
    <w:rsid w:val="008707A4"/>
    <w:rsid w:val="008A43E8"/>
    <w:rsid w:val="008A72B4"/>
    <w:rsid w:val="008B216E"/>
    <w:rsid w:val="008B3DF1"/>
    <w:rsid w:val="008C6DC5"/>
    <w:rsid w:val="00903BC0"/>
    <w:rsid w:val="009274D7"/>
    <w:rsid w:val="00936760"/>
    <w:rsid w:val="009624F5"/>
    <w:rsid w:val="009625E7"/>
    <w:rsid w:val="00964EA1"/>
    <w:rsid w:val="009661AB"/>
    <w:rsid w:val="00966590"/>
    <w:rsid w:val="009766B3"/>
    <w:rsid w:val="00991AA9"/>
    <w:rsid w:val="009A6199"/>
    <w:rsid w:val="009B5A71"/>
    <w:rsid w:val="009B72CC"/>
    <w:rsid w:val="009D653A"/>
    <w:rsid w:val="009D6CD5"/>
    <w:rsid w:val="009E6525"/>
    <w:rsid w:val="009E7B50"/>
    <w:rsid w:val="009F4B5D"/>
    <w:rsid w:val="00A118DA"/>
    <w:rsid w:val="00A2546A"/>
    <w:rsid w:val="00A277F4"/>
    <w:rsid w:val="00A3251D"/>
    <w:rsid w:val="00A36BD8"/>
    <w:rsid w:val="00A54B5B"/>
    <w:rsid w:val="00A66966"/>
    <w:rsid w:val="00A66F43"/>
    <w:rsid w:val="00A85B5C"/>
    <w:rsid w:val="00A97AF1"/>
    <w:rsid w:val="00AA35FB"/>
    <w:rsid w:val="00AB1C60"/>
    <w:rsid w:val="00AD2D9B"/>
    <w:rsid w:val="00AD2E57"/>
    <w:rsid w:val="00AD62E6"/>
    <w:rsid w:val="00AF7427"/>
    <w:rsid w:val="00B02DC4"/>
    <w:rsid w:val="00B10FC9"/>
    <w:rsid w:val="00B130EB"/>
    <w:rsid w:val="00B15F0A"/>
    <w:rsid w:val="00B2034F"/>
    <w:rsid w:val="00B2240D"/>
    <w:rsid w:val="00B30DEC"/>
    <w:rsid w:val="00B319F8"/>
    <w:rsid w:val="00B33577"/>
    <w:rsid w:val="00B34CEF"/>
    <w:rsid w:val="00B40A46"/>
    <w:rsid w:val="00B65B79"/>
    <w:rsid w:val="00BD6443"/>
    <w:rsid w:val="00C03A3F"/>
    <w:rsid w:val="00C210D6"/>
    <w:rsid w:val="00C30B3B"/>
    <w:rsid w:val="00C31BE9"/>
    <w:rsid w:val="00C5135E"/>
    <w:rsid w:val="00C56CAF"/>
    <w:rsid w:val="00C60015"/>
    <w:rsid w:val="00C974EA"/>
    <w:rsid w:val="00CA1F18"/>
    <w:rsid w:val="00CA21FB"/>
    <w:rsid w:val="00CA609A"/>
    <w:rsid w:val="00CB290D"/>
    <w:rsid w:val="00CE2DC1"/>
    <w:rsid w:val="00CF00EE"/>
    <w:rsid w:val="00CF2BDE"/>
    <w:rsid w:val="00D127A5"/>
    <w:rsid w:val="00D15E38"/>
    <w:rsid w:val="00D32BDF"/>
    <w:rsid w:val="00D47BDE"/>
    <w:rsid w:val="00D55D3B"/>
    <w:rsid w:val="00D659E3"/>
    <w:rsid w:val="00D6625F"/>
    <w:rsid w:val="00D7107B"/>
    <w:rsid w:val="00D80E98"/>
    <w:rsid w:val="00DC479D"/>
    <w:rsid w:val="00DD687C"/>
    <w:rsid w:val="00DE0A3C"/>
    <w:rsid w:val="00DF2092"/>
    <w:rsid w:val="00DF27CA"/>
    <w:rsid w:val="00DF7CD6"/>
    <w:rsid w:val="00E0003E"/>
    <w:rsid w:val="00E11234"/>
    <w:rsid w:val="00E320CE"/>
    <w:rsid w:val="00E502C5"/>
    <w:rsid w:val="00E51058"/>
    <w:rsid w:val="00E606EC"/>
    <w:rsid w:val="00EA1198"/>
    <w:rsid w:val="00ED0BB8"/>
    <w:rsid w:val="00ED2385"/>
    <w:rsid w:val="00ED4441"/>
    <w:rsid w:val="00EF0E84"/>
    <w:rsid w:val="00EF0FD5"/>
    <w:rsid w:val="00EF6B3E"/>
    <w:rsid w:val="00F0452A"/>
    <w:rsid w:val="00F04E37"/>
    <w:rsid w:val="00F312CE"/>
    <w:rsid w:val="00F32CEF"/>
    <w:rsid w:val="00F37484"/>
    <w:rsid w:val="00F561AE"/>
    <w:rsid w:val="00F911CC"/>
    <w:rsid w:val="00F9565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598E14"/>
  <w15:chartTrackingRefBased/>
  <w15:docId w15:val="{1045CF75-AC0F-4F47-AB79-7AB52B6A89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277F4"/>
  </w:style>
  <w:style w:type="paragraph" w:styleId="Nagwek3">
    <w:name w:val="heading 3"/>
    <w:basedOn w:val="Normalny"/>
    <w:link w:val="Nagwek3Znak"/>
    <w:uiPriority w:val="9"/>
    <w:qFormat/>
    <w:rsid w:val="006B322F"/>
    <w:pPr>
      <w:spacing w:before="100" w:beforeAutospacing="1" w:after="100" w:afterAutospacing="1" w:line="240" w:lineRule="auto"/>
      <w:outlineLvl w:val="2"/>
    </w:pPr>
    <w:rPr>
      <w:rFonts w:ascii="Times New Roman" w:eastAsia="Times New Roman" w:hAnsi="Times New Roman" w:cs="Times New Roman"/>
      <w:b/>
      <w:bCs/>
      <w:sz w:val="27"/>
      <w:szCs w:val="27"/>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A277F4"/>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277F4"/>
  </w:style>
  <w:style w:type="paragraph" w:styleId="Stopka">
    <w:name w:val="footer"/>
    <w:basedOn w:val="Normalny"/>
    <w:link w:val="StopkaZnak"/>
    <w:uiPriority w:val="99"/>
    <w:unhideWhenUsed/>
    <w:rsid w:val="00A277F4"/>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277F4"/>
  </w:style>
  <w:style w:type="paragraph" w:styleId="Tekstprzypisudolnego">
    <w:name w:val="footnote text"/>
    <w:basedOn w:val="Normalny"/>
    <w:link w:val="TekstprzypisudolnegoZnak"/>
    <w:uiPriority w:val="99"/>
    <w:semiHidden/>
    <w:unhideWhenUsed/>
    <w:rsid w:val="00A277F4"/>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A277F4"/>
    <w:rPr>
      <w:sz w:val="20"/>
      <w:szCs w:val="20"/>
    </w:rPr>
  </w:style>
  <w:style w:type="character" w:styleId="Odwoanieprzypisudolnego">
    <w:name w:val="footnote reference"/>
    <w:basedOn w:val="Domylnaczcionkaakapitu"/>
    <w:uiPriority w:val="99"/>
    <w:semiHidden/>
    <w:unhideWhenUsed/>
    <w:rsid w:val="00A277F4"/>
    <w:rPr>
      <w:vertAlign w:val="superscript"/>
    </w:rPr>
  </w:style>
  <w:style w:type="paragraph" w:styleId="Akapitzlist">
    <w:name w:val="List Paragraph"/>
    <w:basedOn w:val="Normalny"/>
    <w:uiPriority w:val="34"/>
    <w:qFormat/>
    <w:rsid w:val="00A277F4"/>
    <w:pPr>
      <w:ind w:left="720"/>
      <w:contextualSpacing/>
    </w:pPr>
  </w:style>
  <w:style w:type="paragraph" w:customStyle="1" w:styleId="bodytext">
    <w:name w:val="bodytext"/>
    <w:basedOn w:val="Normalny"/>
    <w:rsid w:val="007A2F1C"/>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Hipercze">
    <w:name w:val="Hyperlink"/>
    <w:basedOn w:val="Domylnaczcionkaakapitu"/>
    <w:uiPriority w:val="99"/>
    <w:unhideWhenUsed/>
    <w:rsid w:val="000B3C39"/>
    <w:rPr>
      <w:color w:val="0563C1" w:themeColor="hyperlink"/>
      <w:u w:val="single"/>
    </w:rPr>
  </w:style>
  <w:style w:type="character" w:styleId="Nierozpoznanawzmianka">
    <w:name w:val="Unresolved Mention"/>
    <w:basedOn w:val="Domylnaczcionkaakapitu"/>
    <w:uiPriority w:val="99"/>
    <w:semiHidden/>
    <w:unhideWhenUsed/>
    <w:rsid w:val="000B3C39"/>
    <w:rPr>
      <w:color w:val="605E5C"/>
      <w:shd w:val="clear" w:color="auto" w:fill="E1DFDD"/>
    </w:rPr>
  </w:style>
  <w:style w:type="character" w:customStyle="1" w:styleId="Nagwek3Znak">
    <w:name w:val="Nagłówek 3 Znak"/>
    <w:basedOn w:val="Domylnaczcionkaakapitu"/>
    <w:link w:val="Nagwek3"/>
    <w:uiPriority w:val="9"/>
    <w:rsid w:val="006B322F"/>
    <w:rPr>
      <w:rFonts w:ascii="Times New Roman" w:eastAsia="Times New Roman" w:hAnsi="Times New Roman" w:cs="Times New Roman"/>
      <w:b/>
      <w:bCs/>
      <w:sz w:val="27"/>
      <w:szCs w:val="27"/>
      <w:lang w:eastAsia="pl-PL"/>
    </w:rPr>
  </w:style>
  <w:style w:type="paragraph" w:customStyle="1" w:styleId="Default">
    <w:name w:val="Default"/>
    <w:rsid w:val="00A36BD8"/>
    <w:pPr>
      <w:autoSpaceDE w:val="0"/>
      <w:autoSpaceDN w:val="0"/>
      <w:adjustRightInd w:val="0"/>
      <w:spacing w:after="0" w:line="240" w:lineRule="auto"/>
    </w:pPr>
    <w:rPr>
      <w:rFonts w:ascii="Cambria" w:hAnsi="Cambria" w:cs="Cambria"/>
      <w:color w:val="000000"/>
      <w:sz w:val="24"/>
      <w:szCs w:val="24"/>
    </w:rPr>
  </w:style>
  <w:style w:type="character" w:styleId="UyteHipercze">
    <w:name w:val="FollowedHyperlink"/>
    <w:basedOn w:val="Domylnaczcionkaakapitu"/>
    <w:uiPriority w:val="99"/>
    <w:semiHidden/>
    <w:unhideWhenUsed/>
    <w:rsid w:val="004E0359"/>
    <w:rPr>
      <w:color w:val="954F72" w:themeColor="followedHyperlink"/>
      <w:u w:val="single"/>
    </w:rPr>
  </w:style>
  <w:style w:type="paragraph" w:styleId="Tekstdymka">
    <w:name w:val="Balloon Text"/>
    <w:basedOn w:val="Normalny"/>
    <w:link w:val="TekstdymkaZnak"/>
    <w:uiPriority w:val="99"/>
    <w:semiHidden/>
    <w:unhideWhenUsed/>
    <w:rsid w:val="00AA35FB"/>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A35FB"/>
    <w:rPr>
      <w:rFonts w:ascii="Segoe UI" w:hAnsi="Segoe UI" w:cs="Segoe UI"/>
      <w:sz w:val="18"/>
      <w:szCs w:val="18"/>
    </w:rPr>
  </w:style>
  <w:style w:type="character" w:customStyle="1" w:styleId="highlight">
    <w:name w:val="highlight"/>
    <w:basedOn w:val="Domylnaczcionkaakapitu"/>
    <w:rsid w:val="00164D2D"/>
  </w:style>
  <w:style w:type="character" w:styleId="Odwoaniedokomentarza">
    <w:name w:val="annotation reference"/>
    <w:basedOn w:val="Domylnaczcionkaakapitu"/>
    <w:uiPriority w:val="99"/>
    <w:semiHidden/>
    <w:unhideWhenUsed/>
    <w:rsid w:val="009624F5"/>
    <w:rPr>
      <w:sz w:val="16"/>
      <w:szCs w:val="16"/>
    </w:rPr>
  </w:style>
  <w:style w:type="paragraph" w:styleId="Tekstkomentarza">
    <w:name w:val="annotation text"/>
    <w:basedOn w:val="Normalny"/>
    <w:link w:val="TekstkomentarzaZnak"/>
    <w:uiPriority w:val="99"/>
    <w:unhideWhenUsed/>
    <w:rsid w:val="009624F5"/>
    <w:pPr>
      <w:spacing w:line="240" w:lineRule="auto"/>
    </w:pPr>
    <w:rPr>
      <w:sz w:val="20"/>
      <w:szCs w:val="20"/>
    </w:rPr>
  </w:style>
  <w:style w:type="character" w:customStyle="1" w:styleId="TekstkomentarzaZnak">
    <w:name w:val="Tekst komentarza Znak"/>
    <w:basedOn w:val="Domylnaczcionkaakapitu"/>
    <w:link w:val="Tekstkomentarza"/>
    <w:uiPriority w:val="99"/>
    <w:rsid w:val="009624F5"/>
    <w:rPr>
      <w:sz w:val="20"/>
      <w:szCs w:val="20"/>
    </w:rPr>
  </w:style>
  <w:style w:type="paragraph" w:styleId="Tematkomentarza">
    <w:name w:val="annotation subject"/>
    <w:basedOn w:val="Tekstkomentarza"/>
    <w:next w:val="Tekstkomentarza"/>
    <w:link w:val="TematkomentarzaZnak"/>
    <w:uiPriority w:val="99"/>
    <w:semiHidden/>
    <w:unhideWhenUsed/>
    <w:rsid w:val="009624F5"/>
    <w:rPr>
      <w:b/>
      <w:bCs/>
    </w:rPr>
  </w:style>
  <w:style w:type="character" w:customStyle="1" w:styleId="TematkomentarzaZnak">
    <w:name w:val="Temat komentarza Znak"/>
    <w:basedOn w:val="TekstkomentarzaZnak"/>
    <w:link w:val="Tematkomentarza"/>
    <w:uiPriority w:val="99"/>
    <w:semiHidden/>
    <w:rsid w:val="009624F5"/>
    <w:rPr>
      <w:b/>
      <w:bCs/>
      <w:sz w:val="20"/>
      <w:szCs w:val="20"/>
    </w:rPr>
  </w:style>
  <w:style w:type="character" w:styleId="Pogrubienie">
    <w:name w:val="Strong"/>
    <w:basedOn w:val="Domylnaczcionkaakapitu"/>
    <w:uiPriority w:val="22"/>
    <w:qFormat/>
    <w:rsid w:val="00B130EB"/>
    <w:rPr>
      <w:b/>
      <w:bCs/>
    </w:rPr>
  </w:style>
  <w:style w:type="paragraph" w:styleId="Poprawka">
    <w:name w:val="Revision"/>
    <w:hidden/>
    <w:uiPriority w:val="99"/>
    <w:semiHidden/>
    <w:rsid w:val="00F561A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770811">
      <w:bodyDiv w:val="1"/>
      <w:marLeft w:val="0"/>
      <w:marRight w:val="0"/>
      <w:marTop w:val="0"/>
      <w:marBottom w:val="0"/>
      <w:divBdr>
        <w:top w:val="none" w:sz="0" w:space="0" w:color="auto"/>
        <w:left w:val="none" w:sz="0" w:space="0" w:color="auto"/>
        <w:bottom w:val="none" w:sz="0" w:space="0" w:color="auto"/>
        <w:right w:val="none" w:sz="0" w:space="0" w:color="auto"/>
      </w:divBdr>
    </w:div>
    <w:div w:id="272979891">
      <w:bodyDiv w:val="1"/>
      <w:marLeft w:val="0"/>
      <w:marRight w:val="0"/>
      <w:marTop w:val="0"/>
      <w:marBottom w:val="0"/>
      <w:divBdr>
        <w:top w:val="none" w:sz="0" w:space="0" w:color="auto"/>
        <w:left w:val="none" w:sz="0" w:space="0" w:color="auto"/>
        <w:bottom w:val="none" w:sz="0" w:space="0" w:color="auto"/>
        <w:right w:val="none" w:sz="0" w:space="0" w:color="auto"/>
      </w:divBdr>
    </w:div>
    <w:div w:id="281304514">
      <w:bodyDiv w:val="1"/>
      <w:marLeft w:val="0"/>
      <w:marRight w:val="0"/>
      <w:marTop w:val="0"/>
      <w:marBottom w:val="0"/>
      <w:divBdr>
        <w:top w:val="none" w:sz="0" w:space="0" w:color="auto"/>
        <w:left w:val="none" w:sz="0" w:space="0" w:color="auto"/>
        <w:bottom w:val="none" w:sz="0" w:space="0" w:color="auto"/>
        <w:right w:val="none" w:sz="0" w:space="0" w:color="auto"/>
      </w:divBdr>
    </w:div>
    <w:div w:id="333455502">
      <w:bodyDiv w:val="1"/>
      <w:marLeft w:val="0"/>
      <w:marRight w:val="0"/>
      <w:marTop w:val="0"/>
      <w:marBottom w:val="0"/>
      <w:divBdr>
        <w:top w:val="none" w:sz="0" w:space="0" w:color="auto"/>
        <w:left w:val="none" w:sz="0" w:space="0" w:color="auto"/>
        <w:bottom w:val="none" w:sz="0" w:space="0" w:color="auto"/>
        <w:right w:val="none" w:sz="0" w:space="0" w:color="auto"/>
      </w:divBdr>
    </w:div>
    <w:div w:id="473983374">
      <w:bodyDiv w:val="1"/>
      <w:marLeft w:val="0"/>
      <w:marRight w:val="0"/>
      <w:marTop w:val="0"/>
      <w:marBottom w:val="0"/>
      <w:divBdr>
        <w:top w:val="none" w:sz="0" w:space="0" w:color="auto"/>
        <w:left w:val="none" w:sz="0" w:space="0" w:color="auto"/>
        <w:bottom w:val="none" w:sz="0" w:space="0" w:color="auto"/>
        <w:right w:val="none" w:sz="0" w:space="0" w:color="auto"/>
      </w:divBdr>
    </w:div>
    <w:div w:id="548960550">
      <w:bodyDiv w:val="1"/>
      <w:marLeft w:val="0"/>
      <w:marRight w:val="0"/>
      <w:marTop w:val="0"/>
      <w:marBottom w:val="0"/>
      <w:divBdr>
        <w:top w:val="none" w:sz="0" w:space="0" w:color="auto"/>
        <w:left w:val="none" w:sz="0" w:space="0" w:color="auto"/>
        <w:bottom w:val="none" w:sz="0" w:space="0" w:color="auto"/>
        <w:right w:val="none" w:sz="0" w:space="0" w:color="auto"/>
      </w:divBdr>
    </w:div>
    <w:div w:id="838544208">
      <w:bodyDiv w:val="1"/>
      <w:marLeft w:val="0"/>
      <w:marRight w:val="0"/>
      <w:marTop w:val="0"/>
      <w:marBottom w:val="0"/>
      <w:divBdr>
        <w:top w:val="none" w:sz="0" w:space="0" w:color="auto"/>
        <w:left w:val="none" w:sz="0" w:space="0" w:color="auto"/>
        <w:bottom w:val="none" w:sz="0" w:space="0" w:color="auto"/>
        <w:right w:val="none" w:sz="0" w:space="0" w:color="auto"/>
      </w:divBdr>
    </w:div>
    <w:div w:id="870916439">
      <w:bodyDiv w:val="1"/>
      <w:marLeft w:val="0"/>
      <w:marRight w:val="0"/>
      <w:marTop w:val="0"/>
      <w:marBottom w:val="0"/>
      <w:divBdr>
        <w:top w:val="none" w:sz="0" w:space="0" w:color="auto"/>
        <w:left w:val="none" w:sz="0" w:space="0" w:color="auto"/>
        <w:bottom w:val="none" w:sz="0" w:space="0" w:color="auto"/>
        <w:right w:val="none" w:sz="0" w:space="0" w:color="auto"/>
      </w:divBdr>
    </w:div>
    <w:div w:id="1041444008">
      <w:bodyDiv w:val="1"/>
      <w:marLeft w:val="0"/>
      <w:marRight w:val="0"/>
      <w:marTop w:val="0"/>
      <w:marBottom w:val="0"/>
      <w:divBdr>
        <w:top w:val="none" w:sz="0" w:space="0" w:color="auto"/>
        <w:left w:val="none" w:sz="0" w:space="0" w:color="auto"/>
        <w:bottom w:val="none" w:sz="0" w:space="0" w:color="auto"/>
        <w:right w:val="none" w:sz="0" w:space="0" w:color="auto"/>
      </w:divBdr>
    </w:div>
    <w:div w:id="1121925117">
      <w:bodyDiv w:val="1"/>
      <w:marLeft w:val="0"/>
      <w:marRight w:val="0"/>
      <w:marTop w:val="0"/>
      <w:marBottom w:val="0"/>
      <w:divBdr>
        <w:top w:val="none" w:sz="0" w:space="0" w:color="auto"/>
        <w:left w:val="none" w:sz="0" w:space="0" w:color="auto"/>
        <w:bottom w:val="none" w:sz="0" w:space="0" w:color="auto"/>
        <w:right w:val="none" w:sz="0" w:space="0" w:color="auto"/>
      </w:divBdr>
      <w:divsChild>
        <w:div w:id="208106169">
          <w:marLeft w:val="0"/>
          <w:marRight w:val="0"/>
          <w:marTop w:val="0"/>
          <w:marBottom w:val="0"/>
          <w:divBdr>
            <w:top w:val="none" w:sz="0" w:space="0" w:color="auto"/>
            <w:left w:val="none" w:sz="0" w:space="0" w:color="auto"/>
            <w:bottom w:val="none" w:sz="0" w:space="0" w:color="auto"/>
            <w:right w:val="none" w:sz="0" w:space="0" w:color="auto"/>
          </w:divBdr>
          <w:divsChild>
            <w:div w:id="724449374">
              <w:marLeft w:val="0"/>
              <w:marRight w:val="0"/>
              <w:marTop w:val="0"/>
              <w:marBottom w:val="0"/>
              <w:divBdr>
                <w:top w:val="none" w:sz="0" w:space="0" w:color="auto"/>
                <w:left w:val="none" w:sz="0" w:space="0" w:color="auto"/>
                <w:bottom w:val="none" w:sz="0" w:space="0" w:color="auto"/>
                <w:right w:val="none" w:sz="0" w:space="0" w:color="auto"/>
              </w:divBdr>
              <w:divsChild>
                <w:div w:id="1467510099">
                  <w:marLeft w:val="0"/>
                  <w:marRight w:val="0"/>
                  <w:marTop w:val="0"/>
                  <w:marBottom w:val="0"/>
                  <w:divBdr>
                    <w:top w:val="none" w:sz="0" w:space="0" w:color="auto"/>
                    <w:left w:val="none" w:sz="0" w:space="0" w:color="auto"/>
                    <w:bottom w:val="none" w:sz="0" w:space="0" w:color="auto"/>
                    <w:right w:val="none" w:sz="0" w:space="0" w:color="auto"/>
                  </w:divBdr>
                  <w:divsChild>
                    <w:div w:id="2114855747">
                      <w:marLeft w:val="0"/>
                      <w:marRight w:val="0"/>
                      <w:marTop w:val="0"/>
                      <w:marBottom w:val="0"/>
                      <w:divBdr>
                        <w:top w:val="none" w:sz="0" w:space="0" w:color="auto"/>
                        <w:left w:val="none" w:sz="0" w:space="0" w:color="auto"/>
                        <w:bottom w:val="none" w:sz="0" w:space="0" w:color="auto"/>
                        <w:right w:val="none" w:sz="0" w:space="0" w:color="auto"/>
                      </w:divBdr>
                      <w:divsChild>
                        <w:div w:id="319188982">
                          <w:marLeft w:val="0"/>
                          <w:marRight w:val="0"/>
                          <w:marTop w:val="0"/>
                          <w:marBottom w:val="0"/>
                          <w:divBdr>
                            <w:top w:val="none" w:sz="0" w:space="0" w:color="auto"/>
                            <w:left w:val="none" w:sz="0" w:space="0" w:color="auto"/>
                            <w:bottom w:val="none" w:sz="0" w:space="0" w:color="auto"/>
                            <w:right w:val="none" w:sz="0" w:space="0" w:color="auto"/>
                          </w:divBdr>
                        </w:div>
                        <w:div w:id="601689276">
                          <w:marLeft w:val="0"/>
                          <w:marRight w:val="0"/>
                          <w:marTop w:val="0"/>
                          <w:marBottom w:val="0"/>
                          <w:divBdr>
                            <w:top w:val="none" w:sz="0" w:space="0" w:color="auto"/>
                            <w:left w:val="none" w:sz="0" w:space="0" w:color="auto"/>
                            <w:bottom w:val="none" w:sz="0" w:space="0" w:color="auto"/>
                            <w:right w:val="none" w:sz="0" w:space="0" w:color="auto"/>
                          </w:divBdr>
                          <w:divsChild>
                            <w:div w:id="1689212892">
                              <w:marLeft w:val="0"/>
                              <w:marRight w:val="0"/>
                              <w:marTop w:val="0"/>
                              <w:marBottom w:val="0"/>
                              <w:divBdr>
                                <w:top w:val="none" w:sz="0" w:space="0" w:color="auto"/>
                                <w:left w:val="none" w:sz="0" w:space="0" w:color="auto"/>
                                <w:bottom w:val="none" w:sz="0" w:space="0" w:color="auto"/>
                                <w:right w:val="none" w:sz="0" w:space="0" w:color="auto"/>
                              </w:divBdr>
                            </w:div>
                          </w:divsChild>
                        </w:div>
                        <w:div w:id="2111780373">
                          <w:marLeft w:val="0"/>
                          <w:marRight w:val="0"/>
                          <w:marTop w:val="0"/>
                          <w:marBottom w:val="0"/>
                          <w:divBdr>
                            <w:top w:val="none" w:sz="0" w:space="0" w:color="auto"/>
                            <w:left w:val="none" w:sz="0" w:space="0" w:color="auto"/>
                            <w:bottom w:val="none" w:sz="0" w:space="0" w:color="auto"/>
                            <w:right w:val="none" w:sz="0" w:space="0" w:color="auto"/>
                          </w:divBdr>
                          <w:divsChild>
                            <w:div w:id="259605503">
                              <w:marLeft w:val="0"/>
                              <w:marRight w:val="0"/>
                              <w:marTop w:val="0"/>
                              <w:marBottom w:val="0"/>
                              <w:divBdr>
                                <w:top w:val="none" w:sz="0" w:space="0" w:color="auto"/>
                                <w:left w:val="none" w:sz="0" w:space="0" w:color="auto"/>
                                <w:bottom w:val="none" w:sz="0" w:space="0" w:color="auto"/>
                                <w:right w:val="none" w:sz="0" w:space="0" w:color="auto"/>
                              </w:divBdr>
                            </w:div>
                            <w:div w:id="813065196">
                              <w:marLeft w:val="0"/>
                              <w:marRight w:val="0"/>
                              <w:marTop w:val="0"/>
                              <w:marBottom w:val="0"/>
                              <w:divBdr>
                                <w:top w:val="none" w:sz="0" w:space="0" w:color="auto"/>
                                <w:left w:val="none" w:sz="0" w:space="0" w:color="auto"/>
                                <w:bottom w:val="none" w:sz="0" w:space="0" w:color="auto"/>
                                <w:right w:val="none" w:sz="0" w:space="0" w:color="auto"/>
                              </w:divBdr>
                            </w:div>
                          </w:divsChild>
                        </w:div>
                        <w:div w:id="1333295282">
                          <w:marLeft w:val="0"/>
                          <w:marRight w:val="0"/>
                          <w:marTop w:val="0"/>
                          <w:marBottom w:val="0"/>
                          <w:divBdr>
                            <w:top w:val="none" w:sz="0" w:space="0" w:color="auto"/>
                            <w:left w:val="none" w:sz="0" w:space="0" w:color="auto"/>
                            <w:bottom w:val="none" w:sz="0" w:space="0" w:color="auto"/>
                            <w:right w:val="none" w:sz="0" w:space="0" w:color="auto"/>
                          </w:divBdr>
                        </w:div>
                        <w:div w:id="1480537582">
                          <w:marLeft w:val="0"/>
                          <w:marRight w:val="0"/>
                          <w:marTop w:val="0"/>
                          <w:marBottom w:val="0"/>
                          <w:divBdr>
                            <w:top w:val="none" w:sz="0" w:space="0" w:color="auto"/>
                            <w:left w:val="none" w:sz="0" w:space="0" w:color="auto"/>
                            <w:bottom w:val="none" w:sz="0" w:space="0" w:color="auto"/>
                            <w:right w:val="none" w:sz="0" w:space="0" w:color="auto"/>
                          </w:divBdr>
                        </w:div>
                        <w:div w:id="208744">
                          <w:marLeft w:val="0"/>
                          <w:marRight w:val="0"/>
                          <w:marTop w:val="0"/>
                          <w:marBottom w:val="0"/>
                          <w:divBdr>
                            <w:top w:val="none" w:sz="0" w:space="0" w:color="auto"/>
                            <w:left w:val="none" w:sz="0" w:space="0" w:color="auto"/>
                            <w:bottom w:val="none" w:sz="0" w:space="0" w:color="auto"/>
                            <w:right w:val="none" w:sz="0" w:space="0" w:color="auto"/>
                          </w:divBdr>
                        </w:div>
                        <w:div w:id="1168519421">
                          <w:marLeft w:val="0"/>
                          <w:marRight w:val="0"/>
                          <w:marTop w:val="0"/>
                          <w:marBottom w:val="0"/>
                          <w:divBdr>
                            <w:top w:val="none" w:sz="0" w:space="0" w:color="auto"/>
                            <w:left w:val="none" w:sz="0" w:space="0" w:color="auto"/>
                            <w:bottom w:val="none" w:sz="0" w:space="0" w:color="auto"/>
                            <w:right w:val="none" w:sz="0" w:space="0" w:color="auto"/>
                          </w:divBdr>
                        </w:div>
                        <w:div w:id="1998220831">
                          <w:marLeft w:val="0"/>
                          <w:marRight w:val="0"/>
                          <w:marTop w:val="0"/>
                          <w:marBottom w:val="0"/>
                          <w:divBdr>
                            <w:top w:val="none" w:sz="0" w:space="0" w:color="auto"/>
                            <w:left w:val="none" w:sz="0" w:space="0" w:color="auto"/>
                            <w:bottom w:val="none" w:sz="0" w:space="0" w:color="auto"/>
                            <w:right w:val="none" w:sz="0" w:space="0" w:color="auto"/>
                          </w:divBdr>
                        </w:div>
                        <w:div w:id="966162153">
                          <w:marLeft w:val="0"/>
                          <w:marRight w:val="0"/>
                          <w:marTop w:val="0"/>
                          <w:marBottom w:val="0"/>
                          <w:divBdr>
                            <w:top w:val="none" w:sz="0" w:space="0" w:color="auto"/>
                            <w:left w:val="none" w:sz="0" w:space="0" w:color="auto"/>
                            <w:bottom w:val="none" w:sz="0" w:space="0" w:color="auto"/>
                            <w:right w:val="none" w:sz="0" w:space="0" w:color="auto"/>
                          </w:divBdr>
                          <w:divsChild>
                            <w:div w:id="985015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8080633">
      <w:bodyDiv w:val="1"/>
      <w:marLeft w:val="0"/>
      <w:marRight w:val="0"/>
      <w:marTop w:val="0"/>
      <w:marBottom w:val="0"/>
      <w:divBdr>
        <w:top w:val="none" w:sz="0" w:space="0" w:color="auto"/>
        <w:left w:val="none" w:sz="0" w:space="0" w:color="auto"/>
        <w:bottom w:val="none" w:sz="0" w:space="0" w:color="auto"/>
        <w:right w:val="none" w:sz="0" w:space="0" w:color="auto"/>
      </w:divBdr>
    </w:div>
    <w:div w:id="1518425403">
      <w:bodyDiv w:val="1"/>
      <w:marLeft w:val="0"/>
      <w:marRight w:val="0"/>
      <w:marTop w:val="0"/>
      <w:marBottom w:val="0"/>
      <w:divBdr>
        <w:top w:val="none" w:sz="0" w:space="0" w:color="auto"/>
        <w:left w:val="none" w:sz="0" w:space="0" w:color="auto"/>
        <w:bottom w:val="none" w:sz="0" w:space="0" w:color="auto"/>
        <w:right w:val="none" w:sz="0" w:space="0" w:color="auto"/>
      </w:divBdr>
    </w:div>
    <w:div w:id="1547327258">
      <w:bodyDiv w:val="1"/>
      <w:marLeft w:val="0"/>
      <w:marRight w:val="0"/>
      <w:marTop w:val="0"/>
      <w:marBottom w:val="0"/>
      <w:divBdr>
        <w:top w:val="none" w:sz="0" w:space="0" w:color="auto"/>
        <w:left w:val="none" w:sz="0" w:space="0" w:color="auto"/>
        <w:bottom w:val="none" w:sz="0" w:space="0" w:color="auto"/>
        <w:right w:val="none" w:sz="0" w:space="0" w:color="auto"/>
      </w:divBdr>
    </w:div>
    <w:div w:id="1574854799">
      <w:bodyDiv w:val="1"/>
      <w:marLeft w:val="0"/>
      <w:marRight w:val="0"/>
      <w:marTop w:val="0"/>
      <w:marBottom w:val="0"/>
      <w:divBdr>
        <w:top w:val="none" w:sz="0" w:space="0" w:color="auto"/>
        <w:left w:val="none" w:sz="0" w:space="0" w:color="auto"/>
        <w:bottom w:val="none" w:sz="0" w:space="0" w:color="auto"/>
        <w:right w:val="none" w:sz="0" w:space="0" w:color="auto"/>
      </w:divBdr>
    </w:div>
    <w:div w:id="1606691684">
      <w:bodyDiv w:val="1"/>
      <w:marLeft w:val="0"/>
      <w:marRight w:val="0"/>
      <w:marTop w:val="0"/>
      <w:marBottom w:val="0"/>
      <w:divBdr>
        <w:top w:val="none" w:sz="0" w:space="0" w:color="auto"/>
        <w:left w:val="none" w:sz="0" w:space="0" w:color="auto"/>
        <w:bottom w:val="none" w:sz="0" w:space="0" w:color="auto"/>
        <w:right w:val="none" w:sz="0" w:space="0" w:color="auto"/>
      </w:divBdr>
    </w:div>
    <w:div w:id="1699309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4F0D76-B4A7-4C0F-9A41-CE1915D557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4</Pages>
  <Words>1014</Words>
  <Characters>6087</Characters>
  <Application>Microsoft Office Word</Application>
  <DocSecurity>0</DocSecurity>
  <Lines>50</Lines>
  <Paragraphs>14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revision>26</cp:revision>
  <cp:lastPrinted>2024-06-03T16:07:00Z</cp:lastPrinted>
  <dcterms:created xsi:type="dcterms:W3CDTF">2025-06-05T08:32:00Z</dcterms:created>
  <dcterms:modified xsi:type="dcterms:W3CDTF">2026-06-03T11:59:00Z</dcterms:modified>
</cp:coreProperties>
</file>