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71" w:rsidRDefault="00066E71" w:rsidP="00066E71">
      <w:pPr>
        <w:pBdr>
          <w:bottom w:val="single" w:sz="4" w:space="0" w:color="auto"/>
        </w:pBdr>
        <w:spacing w:before="100" w:after="100"/>
        <w:jc w:val="center"/>
        <w:rPr>
          <w:b/>
        </w:rPr>
      </w:pPr>
      <w:r>
        <w:rPr>
          <w:b/>
        </w:rPr>
        <w:t>KWESTIONARIUSZ BADANIA DOTYCZĄCE</w:t>
      </w:r>
      <w:r w:rsidR="00F4095D">
        <w:rPr>
          <w:b/>
        </w:rPr>
        <w:t xml:space="preserve">GO ZAKRESU </w:t>
      </w:r>
      <w:r w:rsidR="00770EBF">
        <w:rPr>
          <w:b/>
        </w:rPr>
        <w:t>DANYCH UDOSTĘ</w:t>
      </w:r>
      <w:r w:rsidR="00F4095D">
        <w:rPr>
          <w:b/>
        </w:rPr>
        <w:t>PNIANYCH U</w:t>
      </w:r>
      <w:r w:rsidR="00770EBF">
        <w:rPr>
          <w:b/>
        </w:rPr>
        <w:t>CZESTNIKOM RYNKU W </w:t>
      </w:r>
      <w:r w:rsidR="00F4095D">
        <w:rPr>
          <w:b/>
        </w:rPr>
        <w:t>PROCESIE BILANSOWANIA</w:t>
      </w:r>
    </w:p>
    <w:p w:rsidR="00770EBF" w:rsidRDefault="00770EBF" w:rsidP="00CB7A03">
      <w:pPr>
        <w:spacing w:before="240" w:after="120"/>
        <w:jc w:val="both"/>
      </w:pPr>
    </w:p>
    <w:p w:rsidR="00066E71" w:rsidRPr="00CB7A03" w:rsidRDefault="00066E71" w:rsidP="00CB7A03">
      <w:pPr>
        <w:spacing w:before="240" w:after="120"/>
        <w:jc w:val="both"/>
      </w:pPr>
      <w:r w:rsidRPr="00CB7A03">
        <w:t>Szanowni Państwo,</w:t>
      </w:r>
    </w:p>
    <w:p w:rsidR="00CB7A03" w:rsidRPr="00CB7A03" w:rsidRDefault="000375BD" w:rsidP="00CB7A03">
      <w:pPr>
        <w:spacing w:before="240" w:after="120"/>
        <w:jc w:val="both"/>
      </w:pPr>
      <w:r>
        <w:t>Operator</w:t>
      </w:r>
      <w:r w:rsidR="00066E71" w:rsidRPr="00CB7A03">
        <w:t xml:space="preserve"> Gazociągów Przesyłowych GAZ-SYSTEM S.A. serdecznie zaprasza</w:t>
      </w:r>
      <w:r>
        <w:t xml:space="preserve"> </w:t>
      </w:r>
      <w:r w:rsidR="00066E71" w:rsidRPr="00CB7A03">
        <w:t xml:space="preserve">Państwa do wyrażenia swojej opinii w ankiecie dotyczącej </w:t>
      </w:r>
      <w:r w:rsidR="00CB7A03" w:rsidRPr="00CB7A03">
        <w:t>zakresu danych udostępnianych uczestnikom rynku w procesie bilansowania.</w:t>
      </w:r>
    </w:p>
    <w:p w:rsidR="00066E71" w:rsidRPr="00CB7A03" w:rsidRDefault="00CB7A03" w:rsidP="00CB7A03">
      <w:pPr>
        <w:spacing w:before="240" w:after="120"/>
        <w:jc w:val="both"/>
      </w:pPr>
      <w:r w:rsidRPr="00CB7A03">
        <w:t>Zgodnie z zatwierdzonym decyzją Prezesa URE z 30 września 2016 r. „Sprawozdaniem dotyczącym planowanych do wprowadzenia przez GAZ-SYSTEM S.A. środków tymczasowych w związku z wejściem w życie Rozporządzenia Komisji (UE) nr 312/2014 z dnia 26 marca 2014 r. ustanawiającego kodeks siec</w:t>
      </w:r>
      <w:r w:rsidR="00770EBF">
        <w:t>i dotyczący bilansowania gazu w </w:t>
      </w:r>
      <w:r w:rsidRPr="00CB7A03">
        <w:t xml:space="preserve">sieciach przesyłowych”, </w:t>
      </w:r>
      <w:r w:rsidRPr="00770EBF">
        <w:rPr>
          <w:b/>
        </w:rPr>
        <w:t>ankieta jest przeprowadzana w uzgodnieniu z Urzędem Regulacji Energetyki.</w:t>
      </w:r>
    </w:p>
    <w:p w:rsidR="00CB7A03" w:rsidRPr="00770EBF" w:rsidRDefault="00CB7A03" w:rsidP="00CB7A03">
      <w:pPr>
        <w:spacing w:before="240" w:after="120"/>
        <w:jc w:val="both"/>
        <w:rPr>
          <w:b/>
        </w:rPr>
      </w:pPr>
      <w:r w:rsidRPr="00770EBF">
        <w:rPr>
          <w:b/>
        </w:rPr>
        <w:t xml:space="preserve">Odpowiedzi uzyskane w ankiecie pozwolą dokonać oceny czy zakres informacji </w:t>
      </w:r>
      <w:r w:rsidR="00770EBF" w:rsidRPr="00770EBF">
        <w:rPr>
          <w:b/>
        </w:rPr>
        <w:t xml:space="preserve">udostępnianych w procesie bilansowania </w:t>
      </w:r>
      <w:r w:rsidRPr="00770EBF">
        <w:rPr>
          <w:b/>
        </w:rPr>
        <w:t xml:space="preserve">jest wystarczający do obniżenia tolerancji </w:t>
      </w:r>
      <w:r w:rsidR="000375BD" w:rsidRPr="00770EBF">
        <w:rPr>
          <w:b/>
        </w:rPr>
        <w:t xml:space="preserve">(Dobowego Limitu Niezbilansowania) </w:t>
      </w:r>
      <w:r w:rsidRPr="00770EBF">
        <w:rPr>
          <w:b/>
        </w:rPr>
        <w:t>w kolejnym roku gazowym.</w:t>
      </w:r>
    </w:p>
    <w:p w:rsidR="00066E71" w:rsidRDefault="00066E71" w:rsidP="00CB7A03">
      <w:pPr>
        <w:spacing w:before="240" w:after="120"/>
        <w:jc w:val="both"/>
        <w:rPr>
          <w:b/>
        </w:rPr>
      </w:pPr>
      <w:r w:rsidRPr="00944CBA">
        <w:t xml:space="preserve">Uprzejmie prosimy o udzielenie odpowiedzi </w:t>
      </w:r>
      <w:r w:rsidR="00CB7A03">
        <w:t xml:space="preserve">na poniższe pytania </w:t>
      </w:r>
      <w:r w:rsidRPr="00944CBA">
        <w:t xml:space="preserve">i przesłanie na adres: </w:t>
      </w:r>
      <w:hyperlink r:id="rId7" w:history="1">
        <w:r w:rsidRPr="002D128D">
          <w:rPr>
            <w:rStyle w:val="Hipercze"/>
          </w:rPr>
          <w:t>instrukcja@gaz-system.pl</w:t>
        </w:r>
      </w:hyperlink>
      <w:r w:rsidRPr="00944CBA">
        <w:t xml:space="preserve">  </w:t>
      </w:r>
      <w:r>
        <w:t xml:space="preserve">uzupełnionego </w:t>
      </w:r>
      <w:r w:rsidRPr="00944CBA">
        <w:t>pliku (w formacie .</w:t>
      </w:r>
      <w:proofErr w:type="spellStart"/>
      <w:r w:rsidRPr="00944CBA">
        <w:t>doc</w:t>
      </w:r>
      <w:proofErr w:type="spellEnd"/>
      <w:r w:rsidRPr="00944CBA">
        <w:t xml:space="preserve">) w terminie do </w:t>
      </w:r>
      <w:r w:rsidR="00EE150B">
        <w:rPr>
          <w:b/>
        </w:rPr>
        <w:t>20</w:t>
      </w:r>
      <w:bookmarkStart w:id="0" w:name="_GoBack"/>
      <w:bookmarkEnd w:id="0"/>
      <w:r w:rsidR="00CB7A03" w:rsidRPr="000375BD">
        <w:rPr>
          <w:b/>
        </w:rPr>
        <w:t xml:space="preserve"> czerwca</w:t>
      </w:r>
      <w:r w:rsidRPr="000375BD">
        <w:rPr>
          <w:b/>
        </w:rPr>
        <w:t xml:space="preserve"> 2017 r.</w:t>
      </w:r>
    </w:p>
    <w:p w:rsidR="00770EBF" w:rsidRDefault="00770EBF" w:rsidP="00CB7A03">
      <w:pPr>
        <w:spacing w:before="240" w:after="120"/>
        <w:jc w:val="both"/>
      </w:pPr>
    </w:p>
    <w:p w:rsidR="002D507E" w:rsidRPr="00944CBA" w:rsidRDefault="002D507E" w:rsidP="00CB7A03">
      <w:pPr>
        <w:spacing w:before="240" w:after="120"/>
        <w:jc w:val="both"/>
      </w:pPr>
    </w:p>
    <w:p w:rsidR="00066E71" w:rsidRPr="00AC620C" w:rsidRDefault="000375BD" w:rsidP="00AC620C">
      <w:pPr>
        <w:pStyle w:val="Akapitzlist"/>
        <w:numPr>
          <w:ilvl w:val="0"/>
          <w:numId w:val="2"/>
        </w:numPr>
        <w:spacing w:before="240" w:line="276" w:lineRule="auto"/>
        <w:ind w:left="426"/>
        <w:jc w:val="both"/>
        <w:outlineLvl w:val="5"/>
        <w:rPr>
          <w:b/>
          <w:bCs/>
          <w:lang w:eastAsia="en-US"/>
        </w:rPr>
      </w:pPr>
      <w:r w:rsidRPr="00AC620C">
        <w:rPr>
          <w:b/>
          <w:bCs/>
          <w:lang w:eastAsia="en-US"/>
        </w:rPr>
        <w:t xml:space="preserve">Czy otrzymywane przez Państwa informacje zgodnie z pkt. 18.2 </w:t>
      </w:r>
      <w:proofErr w:type="spellStart"/>
      <w:r w:rsidRPr="00AC620C">
        <w:rPr>
          <w:b/>
          <w:bCs/>
          <w:lang w:eastAsia="en-US"/>
        </w:rPr>
        <w:t>IRiESP</w:t>
      </w:r>
      <w:proofErr w:type="spellEnd"/>
      <w:r w:rsidRPr="00AC620C">
        <w:rPr>
          <w:b/>
          <w:bCs/>
          <w:lang w:eastAsia="en-US"/>
        </w:rPr>
        <w:t xml:space="preserve"> są wystarczająco wiarygodne? Proszę uzasadnić, jeżeli NIE.  </w:t>
      </w:r>
    </w:p>
    <w:p w:rsidR="00066E71" w:rsidRPr="0095068B" w:rsidRDefault="00066E71" w:rsidP="00AC620C">
      <w:pPr>
        <w:spacing w:before="360" w:after="60"/>
        <w:ind w:left="499"/>
        <w:jc w:val="both"/>
        <w:outlineLvl w:val="5"/>
        <w:rPr>
          <w:bCs/>
          <w:sz w:val="16"/>
          <w:szCs w:val="16"/>
          <w:lang w:eastAsia="en-US"/>
        </w:rPr>
      </w:pPr>
      <w:r w:rsidRPr="0095068B">
        <w:rPr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</w:t>
      </w:r>
      <w:r w:rsidR="009D5C8D">
        <w:rPr>
          <w:bCs/>
          <w:sz w:val="16"/>
          <w:szCs w:val="16"/>
          <w:lang w:eastAsia="en-US"/>
        </w:rPr>
        <w:t>……………………………</w:t>
      </w:r>
      <w:r w:rsidRPr="0095068B">
        <w:rPr>
          <w:bCs/>
          <w:sz w:val="16"/>
          <w:szCs w:val="16"/>
          <w:lang w:eastAsia="en-US"/>
        </w:rPr>
        <w:t>…….</w:t>
      </w:r>
    </w:p>
    <w:p w:rsidR="00066E71" w:rsidRPr="0095068B" w:rsidRDefault="00AC620C" w:rsidP="00AC620C">
      <w:pPr>
        <w:pStyle w:val="Akapitzlist"/>
        <w:numPr>
          <w:ilvl w:val="0"/>
          <w:numId w:val="2"/>
        </w:numPr>
        <w:spacing w:before="240" w:line="276" w:lineRule="auto"/>
        <w:ind w:left="426"/>
        <w:jc w:val="both"/>
        <w:outlineLvl w:val="5"/>
        <w:rPr>
          <w:b/>
          <w:bCs/>
          <w:lang w:eastAsia="en-US"/>
        </w:rPr>
      </w:pPr>
      <w:r w:rsidRPr="00AC620C">
        <w:rPr>
          <w:b/>
          <w:bCs/>
          <w:lang w:eastAsia="en-US"/>
        </w:rPr>
        <w:t>Czy wdrożony w Polsce wariant podstawowy przekazywania informacji w procesie bilansowania, tj. model, gdzie, w zakresie ilości odbieranych mier</w:t>
      </w:r>
      <w:r w:rsidR="005C2401">
        <w:rPr>
          <w:b/>
          <w:bCs/>
          <w:lang w:eastAsia="en-US"/>
        </w:rPr>
        <w:t xml:space="preserve">zonych rzadziej niż codziennie </w:t>
      </w:r>
      <w:r w:rsidRPr="00AC620C">
        <w:rPr>
          <w:b/>
          <w:bCs/>
          <w:lang w:eastAsia="en-US"/>
        </w:rPr>
        <w:t>przekazywane</w:t>
      </w:r>
      <w:r w:rsidR="005C2401">
        <w:rPr>
          <w:b/>
          <w:bCs/>
          <w:lang w:eastAsia="en-US"/>
        </w:rPr>
        <w:t xml:space="preserve"> są użytkownikom sieci prognozy</w:t>
      </w:r>
      <w:r w:rsidRPr="00AC620C">
        <w:rPr>
          <w:b/>
          <w:bCs/>
          <w:lang w:eastAsia="en-US"/>
        </w:rPr>
        <w:t xml:space="preserve"> w dobie gazowej D-1 oraz 2 aktualizacje prognozy w dobie D – jest adekwatny do Państwa potrzeb informacyjnych w procesie bilansowania handlowego (jeśli nie,</w:t>
      </w:r>
      <w:r w:rsidR="006A16ED">
        <w:rPr>
          <w:b/>
          <w:bCs/>
          <w:lang w:eastAsia="en-US"/>
        </w:rPr>
        <w:t xml:space="preserve"> to proszę uzasadnić dlaczego i </w:t>
      </w:r>
      <w:r w:rsidRPr="00AC620C">
        <w:rPr>
          <w:b/>
          <w:bCs/>
          <w:lang w:eastAsia="en-US"/>
        </w:rPr>
        <w:t>wskazać który z modeli przekazywania informacji wg rozporządzenia 312/2014  byłby dla Państwa bardziej adekwatny)?</w:t>
      </w:r>
    </w:p>
    <w:p w:rsidR="00066E71" w:rsidRPr="00240ED2" w:rsidRDefault="00066E71" w:rsidP="00AC620C">
      <w:pPr>
        <w:spacing w:before="360" w:after="60"/>
        <w:ind w:left="499"/>
        <w:jc w:val="both"/>
        <w:outlineLvl w:val="5"/>
        <w:rPr>
          <w:bCs/>
          <w:sz w:val="16"/>
          <w:szCs w:val="16"/>
          <w:lang w:eastAsia="en-US"/>
        </w:rPr>
      </w:pPr>
      <w:r w:rsidRPr="00240ED2">
        <w:rPr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</w:t>
      </w:r>
      <w:r>
        <w:rPr>
          <w:bCs/>
          <w:sz w:val="16"/>
          <w:szCs w:val="16"/>
          <w:lang w:eastAsia="en-US"/>
        </w:rPr>
        <w:t>……</w:t>
      </w:r>
      <w:r w:rsidR="00AC620C">
        <w:rPr>
          <w:bCs/>
          <w:sz w:val="16"/>
          <w:szCs w:val="16"/>
          <w:lang w:eastAsia="en-US"/>
        </w:rPr>
        <w:t>…………………….</w:t>
      </w:r>
      <w:r>
        <w:rPr>
          <w:bCs/>
          <w:sz w:val="16"/>
          <w:szCs w:val="16"/>
          <w:lang w:eastAsia="en-US"/>
        </w:rPr>
        <w:t>…</w:t>
      </w:r>
    </w:p>
    <w:p w:rsidR="00066E71" w:rsidRPr="0095068B" w:rsidRDefault="00AC620C" w:rsidP="00AC620C">
      <w:pPr>
        <w:pStyle w:val="Akapitzlist"/>
        <w:numPr>
          <w:ilvl w:val="0"/>
          <w:numId w:val="2"/>
        </w:numPr>
        <w:spacing w:before="240" w:line="276" w:lineRule="auto"/>
        <w:ind w:left="426"/>
        <w:jc w:val="both"/>
        <w:outlineLvl w:val="5"/>
        <w:rPr>
          <w:b/>
          <w:bCs/>
          <w:lang w:eastAsia="en-US"/>
        </w:rPr>
      </w:pPr>
      <w:r w:rsidRPr="00AC620C">
        <w:rPr>
          <w:b/>
          <w:bCs/>
          <w:lang w:eastAsia="en-US"/>
        </w:rPr>
        <w:t>Czy publikowane przez OSP informacje dotyczące łącznego niezbilansowania dla wszystkich użytkowników sieci na początek doby gazowej i prognozowanego łącznego niezbilansowania na koniec doby gazowej są wykorzystywane w prowadzonej przez Państwa działalności w celu zbilansowania swojego ‘portfela bilansowego’</w:t>
      </w:r>
      <w:r>
        <w:rPr>
          <w:b/>
          <w:bCs/>
          <w:lang w:eastAsia="en-US"/>
        </w:rPr>
        <w:t>?</w:t>
      </w:r>
    </w:p>
    <w:p w:rsidR="00AC620C" w:rsidRPr="00240ED2" w:rsidRDefault="00AC620C" w:rsidP="00AC620C">
      <w:pPr>
        <w:spacing w:before="360" w:after="60"/>
        <w:ind w:left="499"/>
        <w:jc w:val="both"/>
        <w:outlineLvl w:val="5"/>
        <w:rPr>
          <w:bCs/>
          <w:sz w:val="16"/>
          <w:szCs w:val="16"/>
          <w:lang w:eastAsia="en-US"/>
        </w:rPr>
      </w:pPr>
      <w:r w:rsidRPr="00240ED2">
        <w:rPr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</w:t>
      </w:r>
      <w:r>
        <w:rPr>
          <w:bCs/>
          <w:sz w:val="16"/>
          <w:szCs w:val="16"/>
          <w:lang w:eastAsia="en-US"/>
        </w:rPr>
        <w:t>………………………….…</w:t>
      </w:r>
    </w:p>
    <w:p w:rsidR="00066E71" w:rsidRDefault="00066E71" w:rsidP="00066E71">
      <w:pPr>
        <w:rPr>
          <w:bCs/>
          <w:i/>
          <w:sz w:val="16"/>
          <w:szCs w:val="16"/>
        </w:rPr>
      </w:pPr>
    </w:p>
    <w:p w:rsidR="00AC620C" w:rsidRDefault="00AC620C" w:rsidP="00AC620C">
      <w:pPr>
        <w:pStyle w:val="Akapitzlist"/>
        <w:numPr>
          <w:ilvl w:val="0"/>
          <w:numId w:val="2"/>
        </w:numPr>
        <w:spacing w:before="240" w:line="276" w:lineRule="auto"/>
        <w:ind w:left="426"/>
        <w:jc w:val="both"/>
        <w:outlineLvl w:val="5"/>
        <w:rPr>
          <w:b/>
          <w:bCs/>
          <w:lang w:eastAsia="en-US"/>
        </w:rPr>
      </w:pPr>
      <w:r w:rsidRPr="00AC620C">
        <w:rPr>
          <w:b/>
          <w:bCs/>
          <w:lang w:eastAsia="en-US"/>
        </w:rPr>
        <w:lastRenderedPageBreak/>
        <w:t>Czy publikacja dla każdego obszaru bilansowania ilości gazu w systemie przesyłowym na rozpoczęcie każdej doby gazowej oraz prognozowanej ilości gazu w systemie przesyłowym na zakończenie każdej doby gazowej (z aktualizacją prognozowanej ilości gazu na zakończenie doby gazowej co godzinę przez całą dobę gazową) byłaby wg Państwa bardziej przydatna w celu bilansowania swojego ‘portfela bilansowego’ niż publikowana obecnie informacja dotycząca łącznego niezbilansowania użytkowników sieci?</w:t>
      </w:r>
    </w:p>
    <w:p w:rsidR="00AC620C" w:rsidRPr="00AC620C" w:rsidRDefault="00AC620C" w:rsidP="00AC620C">
      <w:pPr>
        <w:spacing w:before="360" w:after="60"/>
        <w:ind w:left="499"/>
        <w:jc w:val="both"/>
        <w:outlineLvl w:val="5"/>
        <w:rPr>
          <w:bCs/>
          <w:sz w:val="16"/>
          <w:szCs w:val="16"/>
          <w:lang w:eastAsia="en-US"/>
        </w:rPr>
      </w:pPr>
      <w:r w:rsidRPr="00AC620C">
        <w:rPr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</w:p>
    <w:p w:rsidR="00AC620C" w:rsidRDefault="00AC620C" w:rsidP="00AC620C">
      <w:pPr>
        <w:pStyle w:val="Akapitzlist"/>
        <w:numPr>
          <w:ilvl w:val="0"/>
          <w:numId w:val="2"/>
        </w:numPr>
        <w:spacing w:before="240" w:line="276" w:lineRule="auto"/>
        <w:ind w:left="426"/>
        <w:jc w:val="both"/>
        <w:outlineLvl w:val="5"/>
        <w:rPr>
          <w:b/>
          <w:bCs/>
          <w:lang w:eastAsia="en-US"/>
        </w:rPr>
      </w:pPr>
      <w:r w:rsidRPr="00AC620C">
        <w:rPr>
          <w:b/>
          <w:bCs/>
          <w:lang w:eastAsia="en-US"/>
        </w:rPr>
        <w:t>Jakie czynniki wpływają na powstawanie niezbilansowania dobowego w ramach prowadzonej przez Państwa działalności? Proszę podać je w podziale na czynniki zależne i niezależne od działań OSP. W jaki sposób działania OSP mogą pomóc wyeliminować lub zminimalizować te czynniki?</w:t>
      </w:r>
    </w:p>
    <w:p w:rsidR="00AC620C" w:rsidRPr="00AC620C" w:rsidRDefault="00AC620C" w:rsidP="00AC620C">
      <w:pPr>
        <w:spacing w:before="360" w:after="60"/>
        <w:ind w:left="499"/>
        <w:jc w:val="both"/>
        <w:outlineLvl w:val="5"/>
        <w:rPr>
          <w:bCs/>
          <w:sz w:val="16"/>
          <w:szCs w:val="16"/>
          <w:lang w:eastAsia="en-US"/>
        </w:rPr>
      </w:pPr>
      <w:r w:rsidRPr="00AC620C">
        <w:rPr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</w:p>
    <w:p w:rsidR="00AC620C" w:rsidRDefault="00AC620C" w:rsidP="00AC620C">
      <w:pPr>
        <w:pStyle w:val="Akapitzlist"/>
        <w:numPr>
          <w:ilvl w:val="0"/>
          <w:numId w:val="2"/>
        </w:numPr>
        <w:spacing w:before="240" w:line="276" w:lineRule="auto"/>
        <w:ind w:left="426"/>
        <w:jc w:val="both"/>
        <w:outlineLvl w:val="5"/>
        <w:rPr>
          <w:b/>
          <w:bCs/>
          <w:lang w:eastAsia="en-US"/>
        </w:rPr>
      </w:pPr>
      <w:r w:rsidRPr="00AC620C">
        <w:rPr>
          <w:b/>
          <w:bCs/>
          <w:lang w:eastAsia="en-US"/>
        </w:rPr>
        <w:t>Czy w Państwa ocenie obniżenie tolerancji (DLN) do zera zgodnie z rozpor</w:t>
      </w:r>
      <w:r w:rsidR="00A837A5">
        <w:rPr>
          <w:b/>
          <w:bCs/>
          <w:lang w:eastAsia="en-US"/>
        </w:rPr>
        <w:t>ządzeniem nr 312/2014 z dnia 26 </w:t>
      </w:r>
      <w:r w:rsidRPr="00AC620C">
        <w:rPr>
          <w:b/>
          <w:bCs/>
          <w:lang w:eastAsia="en-US"/>
        </w:rPr>
        <w:t>marca 2014 r. wymaga wdrożenia dodatkowych działań po stronie OSP lub OSD lub odbiorców końcowych (jeśli tak to jakich)?</w:t>
      </w:r>
    </w:p>
    <w:p w:rsidR="00AC620C" w:rsidRPr="00AC620C" w:rsidRDefault="00AC620C" w:rsidP="00AC620C">
      <w:pPr>
        <w:spacing w:before="360" w:after="60"/>
        <w:ind w:left="499"/>
        <w:jc w:val="both"/>
        <w:outlineLvl w:val="5"/>
        <w:rPr>
          <w:bCs/>
          <w:sz w:val="16"/>
          <w:szCs w:val="16"/>
          <w:lang w:eastAsia="en-US"/>
        </w:rPr>
      </w:pPr>
      <w:r w:rsidRPr="00AC620C">
        <w:rPr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</w:p>
    <w:p w:rsidR="00066E71" w:rsidRPr="00AC620C" w:rsidRDefault="00AC620C" w:rsidP="00AC620C">
      <w:pPr>
        <w:pStyle w:val="Akapitzlist"/>
        <w:numPr>
          <w:ilvl w:val="0"/>
          <w:numId w:val="2"/>
        </w:numPr>
        <w:spacing w:before="240" w:line="276" w:lineRule="auto"/>
        <w:ind w:left="426"/>
        <w:jc w:val="both"/>
        <w:outlineLvl w:val="5"/>
        <w:rPr>
          <w:b/>
          <w:bCs/>
          <w:lang w:eastAsia="en-US"/>
        </w:rPr>
      </w:pPr>
      <w:r w:rsidRPr="00AC620C">
        <w:rPr>
          <w:b/>
          <w:bCs/>
          <w:lang w:eastAsia="en-US"/>
        </w:rPr>
        <w:t>Proszę wskazać ewentualne inne uwagi lub propozycje dotyczące przekazywania informacji w procesie bilansowania oraz tolerancji niezbilansowania, w zakresie postanowień rozporządzenia nr 312/2014.</w:t>
      </w:r>
    </w:p>
    <w:p w:rsidR="00AC620C" w:rsidRPr="00AC620C" w:rsidRDefault="00AC620C" w:rsidP="00AC620C">
      <w:pPr>
        <w:spacing w:before="360" w:after="60"/>
        <w:ind w:left="499"/>
        <w:jc w:val="both"/>
        <w:outlineLvl w:val="5"/>
        <w:rPr>
          <w:bCs/>
          <w:sz w:val="16"/>
          <w:szCs w:val="16"/>
          <w:lang w:eastAsia="en-US"/>
        </w:rPr>
      </w:pPr>
      <w:r w:rsidRPr="00AC620C">
        <w:rPr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</w:p>
    <w:p w:rsidR="00AC620C" w:rsidRDefault="00AC620C" w:rsidP="00066E71">
      <w:pPr>
        <w:spacing w:line="360" w:lineRule="auto"/>
        <w:rPr>
          <w:b/>
          <w:bCs/>
        </w:rPr>
      </w:pPr>
    </w:p>
    <w:p w:rsidR="00770EBF" w:rsidRDefault="00770EBF" w:rsidP="00066E71">
      <w:pPr>
        <w:spacing w:line="360" w:lineRule="auto"/>
        <w:rPr>
          <w:b/>
          <w:bCs/>
        </w:rPr>
      </w:pPr>
    </w:p>
    <w:p w:rsidR="00066E71" w:rsidRPr="00770EBF" w:rsidRDefault="00066E71" w:rsidP="00770EBF">
      <w:pPr>
        <w:spacing w:line="360" w:lineRule="auto"/>
        <w:jc w:val="both"/>
        <w:rPr>
          <w:bCs/>
        </w:rPr>
      </w:pPr>
      <w:r w:rsidRPr="00770EBF">
        <w:rPr>
          <w:bCs/>
        </w:rPr>
        <w:t xml:space="preserve">Serdecznie dziękujemy za poświęcony czas i udzielenie odpowiedzi na powyższe pytania. Przekazane przez Państwa informacje </w:t>
      </w:r>
      <w:r w:rsidR="000375BD" w:rsidRPr="00770EBF">
        <w:rPr>
          <w:bCs/>
        </w:rPr>
        <w:t xml:space="preserve">pomogą w podjęciu decyzji odnośnie </w:t>
      </w:r>
      <w:r w:rsidR="00046535">
        <w:rPr>
          <w:bCs/>
        </w:rPr>
        <w:t xml:space="preserve">zastosowania </w:t>
      </w:r>
      <w:r w:rsidR="000375BD" w:rsidRPr="00770EBF">
        <w:rPr>
          <w:bCs/>
        </w:rPr>
        <w:t xml:space="preserve">tolerancji </w:t>
      </w:r>
      <w:r w:rsidR="007960D9">
        <w:rPr>
          <w:bCs/>
        </w:rPr>
        <w:t xml:space="preserve">jako środka tymczasowego </w:t>
      </w:r>
      <w:r w:rsidR="000375BD" w:rsidRPr="00770EBF">
        <w:rPr>
          <w:bCs/>
        </w:rPr>
        <w:t>w kolejnym roku gazowym.</w:t>
      </w:r>
    </w:p>
    <w:p w:rsidR="000375BD" w:rsidRDefault="000375BD" w:rsidP="00066E71">
      <w:pPr>
        <w:spacing w:line="360" w:lineRule="auto"/>
        <w:rPr>
          <w:b/>
          <w:bCs/>
        </w:rPr>
      </w:pPr>
    </w:p>
    <w:p w:rsidR="00066E71" w:rsidRDefault="000375BD" w:rsidP="00770EBF">
      <w:pPr>
        <w:spacing w:before="120"/>
        <w:rPr>
          <w:b/>
          <w:bCs/>
        </w:rPr>
      </w:pPr>
      <w:r>
        <w:rPr>
          <w:b/>
          <w:bCs/>
        </w:rPr>
        <w:t>Dane osoby wypełniającej ankietę:</w:t>
      </w:r>
    </w:p>
    <w:p w:rsidR="00066E71" w:rsidRPr="00770EBF" w:rsidRDefault="00066E71" w:rsidP="00770EBF">
      <w:pPr>
        <w:spacing w:before="120"/>
        <w:rPr>
          <w:b/>
        </w:rPr>
      </w:pPr>
      <w:r w:rsidRPr="00770EBF">
        <w:rPr>
          <w:b/>
        </w:rPr>
        <w:t>Imię i Nazwisko:</w:t>
      </w:r>
      <w:r w:rsidR="00F427AC">
        <w:rPr>
          <w:b/>
        </w:rPr>
        <w:t xml:space="preserve"> …………………………………………</w:t>
      </w:r>
      <w:proofErr w:type="gramStart"/>
      <w:r w:rsidR="00F427AC">
        <w:rPr>
          <w:b/>
        </w:rPr>
        <w:t>…….</w:t>
      </w:r>
      <w:proofErr w:type="gramEnd"/>
      <w:r w:rsidR="00F427AC">
        <w:rPr>
          <w:b/>
        </w:rPr>
        <w:t>……………….</w:t>
      </w:r>
    </w:p>
    <w:p w:rsidR="00066E71" w:rsidRPr="00770EBF" w:rsidRDefault="00066E71" w:rsidP="00770EBF">
      <w:pPr>
        <w:spacing w:before="120"/>
        <w:rPr>
          <w:b/>
        </w:rPr>
      </w:pPr>
      <w:r w:rsidRPr="00770EBF">
        <w:rPr>
          <w:b/>
        </w:rPr>
        <w:t>Stanowisko:</w:t>
      </w:r>
      <w:r w:rsidR="00F427AC">
        <w:rPr>
          <w:b/>
        </w:rPr>
        <w:t xml:space="preserve"> ………………………………………………………………</w:t>
      </w:r>
      <w:proofErr w:type="gramStart"/>
      <w:r w:rsidR="00F427AC">
        <w:rPr>
          <w:b/>
        </w:rPr>
        <w:t>…….</w:t>
      </w:r>
      <w:proofErr w:type="gramEnd"/>
      <w:r w:rsidR="00F427AC">
        <w:rPr>
          <w:b/>
        </w:rPr>
        <w:t>.</w:t>
      </w:r>
    </w:p>
    <w:p w:rsidR="00066E71" w:rsidRPr="00770EBF" w:rsidRDefault="00066E71" w:rsidP="00770EBF">
      <w:pPr>
        <w:spacing w:before="120"/>
        <w:rPr>
          <w:b/>
        </w:rPr>
      </w:pPr>
      <w:r w:rsidRPr="00770EBF">
        <w:rPr>
          <w:b/>
        </w:rPr>
        <w:t>E-mail:</w:t>
      </w:r>
      <w:r w:rsidR="00F427AC">
        <w:rPr>
          <w:b/>
        </w:rPr>
        <w:t xml:space="preserve"> ……………………………………………………………………………</w:t>
      </w:r>
    </w:p>
    <w:p w:rsidR="00066E71" w:rsidRPr="00770EBF" w:rsidRDefault="00066E71" w:rsidP="00770EBF">
      <w:pPr>
        <w:spacing w:before="120"/>
        <w:rPr>
          <w:b/>
        </w:rPr>
      </w:pPr>
      <w:r w:rsidRPr="00770EBF">
        <w:rPr>
          <w:b/>
        </w:rPr>
        <w:t>Telefon kontaktowy:</w:t>
      </w:r>
      <w:r w:rsidR="00F427AC">
        <w:rPr>
          <w:b/>
        </w:rPr>
        <w:t xml:space="preserve"> ……………………………………………………</w:t>
      </w:r>
      <w:proofErr w:type="gramStart"/>
      <w:r w:rsidR="00F427AC">
        <w:rPr>
          <w:b/>
        </w:rPr>
        <w:t>…….</w:t>
      </w:r>
      <w:proofErr w:type="gramEnd"/>
      <w:r w:rsidR="00F427AC">
        <w:rPr>
          <w:b/>
        </w:rPr>
        <w:t>.</w:t>
      </w:r>
    </w:p>
    <w:p w:rsidR="00066E71" w:rsidRPr="00770EBF" w:rsidRDefault="00066E71" w:rsidP="00770EBF">
      <w:pPr>
        <w:spacing w:before="120"/>
        <w:rPr>
          <w:b/>
        </w:rPr>
      </w:pPr>
      <w:r w:rsidRPr="00770EBF">
        <w:rPr>
          <w:b/>
        </w:rPr>
        <w:t xml:space="preserve">Nazwa firmy: </w:t>
      </w:r>
      <w:r w:rsidR="00F427AC">
        <w:rPr>
          <w:b/>
        </w:rPr>
        <w:t>………………………………………………………</w:t>
      </w:r>
      <w:proofErr w:type="gramStart"/>
      <w:r w:rsidR="00F427AC">
        <w:rPr>
          <w:b/>
        </w:rPr>
        <w:t>…….</w:t>
      </w:r>
      <w:proofErr w:type="gramEnd"/>
      <w:r w:rsidR="00F427AC">
        <w:rPr>
          <w:b/>
        </w:rPr>
        <w:t>……..</w:t>
      </w:r>
    </w:p>
    <w:p w:rsidR="00F07496" w:rsidRPr="00770EBF" w:rsidRDefault="00066E71" w:rsidP="00770EBF">
      <w:pPr>
        <w:spacing w:before="120"/>
        <w:rPr>
          <w:rStyle w:val="Gasstyl1"/>
          <w:b/>
        </w:rPr>
      </w:pPr>
      <w:r w:rsidRPr="00770EBF">
        <w:rPr>
          <w:b/>
        </w:rPr>
        <w:t>Kod ZUP:</w:t>
      </w:r>
      <w:r w:rsidR="00F427AC">
        <w:rPr>
          <w:b/>
        </w:rPr>
        <w:t xml:space="preserve"> ……</w:t>
      </w:r>
      <w:proofErr w:type="gramStart"/>
      <w:r w:rsidR="00F427AC">
        <w:rPr>
          <w:b/>
        </w:rPr>
        <w:t>…….</w:t>
      </w:r>
      <w:proofErr w:type="gramEnd"/>
      <w:r w:rsidR="00F427AC">
        <w:rPr>
          <w:b/>
        </w:rPr>
        <w:t>.</w:t>
      </w:r>
    </w:p>
    <w:sectPr w:rsidR="00F07496" w:rsidRPr="00770EBF" w:rsidSect="000D09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B8" w:rsidRDefault="00AF27B8">
      <w:r>
        <w:separator/>
      </w:r>
    </w:p>
  </w:endnote>
  <w:endnote w:type="continuationSeparator" w:id="0">
    <w:p w:rsidR="00AF27B8" w:rsidRDefault="00AF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15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  <w:p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:rsidR="002E7AF1" w:rsidRDefault="002E7AF1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="00B3613F">
            <w:rPr>
              <w:sz w:val="14"/>
              <w:szCs w:val="14"/>
            </w:rPr>
            <w:t>Artur Zawartko</w:t>
          </w:r>
        </w:p>
        <w:p w:rsidR="00835C57" w:rsidRPr="00B171B6" w:rsidRDefault="00835C57" w:rsidP="00770EBF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B8" w:rsidRDefault="00AF27B8">
      <w:r>
        <w:separator/>
      </w:r>
    </w:p>
  </w:footnote>
  <w:footnote w:type="continuationSeparator" w:id="0">
    <w:p w:rsidR="00AF27B8" w:rsidRDefault="00AF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57" w:rsidRDefault="00835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6FA9"/>
    <w:multiLevelType w:val="hybridMultilevel"/>
    <w:tmpl w:val="0812D48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BD359BD"/>
    <w:multiLevelType w:val="hybridMultilevel"/>
    <w:tmpl w:val="03A8C146"/>
    <w:lvl w:ilvl="0" w:tplc="815A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95"/>
    <w:rsid w:val="000250EE"/>
    <w:rsid w:val="000375BD"/>
    <w:rsid w:val="00037760"/>
    <w:rsid w:val="00046535"/>
    <w:rsid w:val="00066E71"/>
    <w:rsid w:val="00077727"/>
    <w:rsid w:val="000977F1"/>
    <w:rsid w:val="000B584A"/>
    <w:rsid w:val="000C0673"/>
    <w:rsid w:val="000D0995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C41D2"/>
    <w:rsid w:val="001D3646"/>
    <w:rsid w:val="001E3562"/>
    <w:rsid w:val="001F4089"/>
    <w:rsid w:val="00223C95"/>
    <w:rsid w:val="00232933"/>
    <w:rsid w:val="0023441D"/>
    <w:rsid w:val="00254B14"/>
    <w:rsid w:val="00292821"/>
    <w:rsid w:val="00296268"/>
    <w:rsid w:val="002B1E1E"/>
    <w:rsid w:val="002B25F3"/>
    <w:rsid w:val="002B4C71"/>
    <w:rsid w:val="002C6C90"/>
    <w:rsid w:val="002D276E"/>
    <w:rsid w:val="002D507E"/>
    <w:rsid w:val="002E7AF1"/>
    <w:rsid w:val="002F0CC0"/>
    <w:rsid w:val="002F4592"/>
    <w:rsid w:val="00314262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77DDC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93874"/>
    <w:rsid w:val="005A7014"/>
    <w:rsid w:val="005B75BB"/>
    <w:rsid w:val="005C2401"/>
    <w:rsid w:val="005D01DA"/>
    <w:rsid w:val="005E6272"/>
    <w:rsid w:val="005F0C3B"/>
    <w:rsid w:val="0060171F"/>
    <w:rsid w:val="00645EAE"/>
    <w:rsid w:val="0065588F"/>
    <w:rsid w:val="00660212"/>
    <w:rsid w:val="006708F9"/>
    <w:rsid w:val="0067280F"/>
    <w:rsid w:val="00675B69"/>
    <w:rsid w:val="006803DA"/>
    <w:rsid w:val="00683652"/>
    <w:rsid w:val="006A16ED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70EBF"/>
    <w:rsid w:val="007960D9"/>
    <w:rsid w:val="007C025B"/>
    <w:rsid w:val="007F21C4"/>
    <w:rsid w:val="0080355D"/>
    <w:rsid w:val="00804C04"/>
    <w:rsid w:val="0080589F"/>
    <w:rsid w:val="008124E5"/>
    <w:rsid w:val="00835C57"/>
    <w:rsid w:val="0084116E"/>
    <w:rsid w:val="00857B73"/>
    <w:rsid w:val="009310BD"/>
    <w:rsid w:val="0093459B"/>
    <w:rsid w:val="00936068"/>
    <w:rsid w:val="009755BE"/>
    <w:rsid w:val="009A0A08"/>
    <w:rsid w:val="009C0873"/>
    <w:rsid w:val="009D5C8D"/>
    <w:rsid w:val="009E7043"/>
    <w:rsid w:val="009F50CF"/>
    <w:rsid w:val="00A04D2D"/>
    <w:rsid w:val="00A22248"/>
    <w:rsid w:val="00A25AE4"/>
    <w:rsid w:val="00A26335"/>
    <w:rsid w:val="00A837A5"/>
    <w:rsid w:val="00AB2DFC"/>
    <w:rsid w:val="00AC620C"/>
    <w:rsid w:val="00AF27B8"/>
    <w:rsid w:val="00AF319F"/>
    <w:rsid w:val="00B171B6"/>
    <w:rsid w:val="00B3003C"/>
    <w:rsid w:val="00B3613F"/>
    <w:rsid w:val="00B743A9"/>
    <w:rsid w:val="00B854D3"/>
    <w:rsid w:val="00B914F8"/>
    <w:rsid w:val="00BB36F3"/>
    <w:rsid w:val="00C02E7D"/>
    <w:rsid w:val="00C40AA4"/>
    <w:rsid w:val="00C624E8"/>
    <w:rsid w:val="00C922A1"/>
    <w:rsid w:val="00CB7A03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D221C"/>
    <w:rsid w:val="00DD348D"/>
    <w:rsid w:val="00DE1696"/>
    <w:rsid w:val="00DF0029"/>
    <w:rsid w:val="00DF5BDD"/>
    <w:rsid w:val="00E034F9"/>
    <w:rsid w:val="00E21ECC"/>
    <w:rsid w:val="00E47905"/>
    <w:rsid w:val="00ED09A9"/>
    <w:rsid w:val="00EE150B"/>
    <w:rsid w:val="00EE1EFD"/>
    <w:rsid w:val="00F07496"/>
    <w:rsid w:val="00F17C03"/>
    <w:rsid w:val="00F4095D"/>
    <w:rsid w:val="00F40C50"/>
    <w:rsid w:val="00F427AC"/>
    <w:rsid w:val="00F74DA5"/>
    <w:rsid w:val="00F76907"/>
    <w:rsid w:val="00F80945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0A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66E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rukcja@gaz-syste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2017-05-24T08:08:00Z</dcterms:created>
  <dcterms:modified xsi:type="dcterms:W3CDTF">2017-06-05T09:40:00Z</dcterms:modified>
</cp:coreProperties>
</file>