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6F7D" w14:textId="77777777" w:rsidR="00B83BEF" w:rsidRDefault="00B83BEF" w:rsidP="00B83BEF">
      <w:pPr>
        <w:spacing w:after="120"/>
        <w:jc w:val="center"/>
        <w:rPr>
          <w:smallCaps/>
          <w:szCs w:val="20"/>
        </w:rPr>
      </w:pPr>
    </w:p>
    <w:p w14:paraId="7F5F145B" w14:textId="77777777" w:rsidR="00B83BEF" w:rsidRDefault="00B83BEF" w:rsidP="00B83BEF">
      <w:pPr>
        <w:spacing w:after="120"/>
        <w:jc w:val="center"/>
        <w:rPr>
          <w:smallCaps/>
          <w:szCs w:val="20"/>
        </w:rPr>
      </w:pPr>
    </w:p>
    <w:p w14:paraId="040DED5F" w14:textId="77777777" w:rsidR="00B83BEF" w:rsidRDefault="00B83BEF" w:rsidP="00B83BEF">
      <w:pPr>
        <w:spacing w:after="120"/>
        <w:jc w:val="center"/>
        <w:rPr>
          <w:smallCaps/>
          <w:szCs w:val="20"/>
        </w:rPr>
      </w:pPr>
    </w:p>
    <w:p w14:paraId="01CAC51A" w14:textId="77777777" w:rsidR="00B83BEF" w:rsidRDefault="00B83BEF" w:rsidP="00B83BEF">
      <w:pPr>
        <w:spacing w:after="120"/>
        <w:rPr>
          <w:smallCaps/>
          <w:szCs w:val="20"/>
        </w:rPr>
      </w:pPr>
    </w:p>
    <w:p w14:paraId="7FC019A2" w14:textId="3224D668" w:rsidR="00B83BEF" w:rsidRPr="00FA2194" w:rsidRDefault="00B83BEF" w:rsidP="00B83BEF">
      <w:pPr>
        <w:spacing w:after="120"/>
        <w:jc w:val="center"/>
        <w:rPr>
          <w:b/>
          <w:smallCaps/>
          <w:color w:val="984806" w:themeColor="accent6" w:themeShade="80"/>
          <w:sz w:val="28"/>
          <w:szCs w:val="36"/>
        </w:rPr>
      </w:pPr>
      <w:r w:rsidRPr="00FA2194">
        <w:rPr>
          <w:b/>
          <w:smallCaps/>
          <w:color w:val="0070C0"/>
          <w:sz w:val="28"/>
          <w:szCs w:val="36"/>
        </w:rPr>
        <w:t xml:space="preserve">[NAZWA </w:t>
      </w:r>
      <w:r w:rsidR="008515EB" w:rsidRPr="00FA2194">
        <w:rPr>
          <w:b/>
          <w:smallCaps/>
          <w:color w:val="0070C0"/>
          <w:sz w:val="28"/>
          <w:szCs w:val="36"/>
        </w:rPr>
        <w:t>Przedsiębiorstwa energetycznego - ZUP lub Podmiot zobowiązany</w:t>
      </w:r>
      <w:r w:rsidRPr="00FA2194">
        <w:rPr>
          <w:b/>
          <w:smallCaps/>
          <w:color w:val="0070C0"/>
          <w:sz w:val="28"/>
          <w:szCs w:val="36"/>
        </w:rPr>
        <w:t>]</w:t>
      </w:r>
    </w:p>
    <w:p w14:paraId="322B587F" w14:textId="77777777" w:rsidR="00B83BEF" w:rsidRDefault="00B83BEF" w:rsidP="00B83BEF">
      <w:pPr>
        <w:spacing w:after="120"/>
        <w:rPr>
          <w:smallCaps/>
          <w:szCs w:val="20"/>
        </w:rPr>
      </w:pPr>
    </w:p>
    <w:p w14:paraId="39EE62DE" w14:textId="3DDFFCC4" w:rsidR="00B83BEF" w:rsidRPr="00D0480D" w:rsidRDefault="00D0480D" w:rsidP="00D0480D">
      <w:pPr>
        <w:spacing w:after="120"/>
        <w:jc w:val="both"/>
        <w:rPr>
          <w:smallCaps/>
          <w:color w:val="0070C0"/>
          <w:sz w:val="24"/>
          <w:szCs w:val="24"/>
        </w:rPr>
      </w:pPr>
      <w:r w:rsidRPr="00D0480D">
        <w:rPr>
          <w:color w:val="0070C0"/>
          <w:sz w:val="24"/>
          <w:szCs w:val="24"/>
        </w:rPr>
        <w:t>Wzór Procedury zawiera wskazówki (zapisy</w:t>
      </w:r>
      <w:r>
        <w:rPr>
          <w:color w:val="0070C0"/>
          <w:sz w:val="24"/>
          <w:szCs w:val="24"/>
        </w:rPr>
        <w:t xml:space="preserve"> oznaczone kolorem niebieskim</w:t>
      </w:r>
      <w:r w:rsidRPr="00D0480D">
        <w:rPr>
          <w:color w:val="0070C0"/>
          <w:sz w:val="24"/>
          <w:szCs w:val="24"/>
        </w:rPr>
        <w:t xml:space="preserve">), dotyczące wymaganych w poszczególnych częściach dokumentu informacji. Prosimy o zapoznanie się ze wskazówkami. W dokumencie ostatecznym informacje te powinny </w:t>
      </w:r>
      <w:r>
        <w:rPr>
          <w:color w:val="0070C0"/>
          <w:sz w:val="24"/>
          <w:szCs w:val="24"/>
        </w:rPr>
        <w:t>zostać u</w:t>
      </w:r>
      <w:r w:rsidRPr="00D0480D">
        <w:rPr>
          <w:color w:val="0070C0"/>
          <w:sz w:val="24"/>
          <w:szCs w:val="24"/>
        </w:rPr>
        <w:t>sunięte.</w:t>
      </w:r>
    </w:p>
    <w:p w14:paraId="2CC7A5F2" w14:textId="22DCFF97" w:rsidR="00B83BEF" w:rsidRDefault="00B83BEF" w:rsidP="00B83BEF">
      <w:pPr>
        <w:spacing w:after="120"/>
        <w:jc w:val="both"/>
        <w:rPr>
          <w:smallCaps/>
          <w:sz w:val="28"/>
          <w:szCs w:val="28"/>
        </w:rPr>
      </w:pPr>
    </w:p>
    <w:p w14:paraId="102879E0" w14:textId="77777777" w:rsidR="00B83BEF" w:rsidRPr="00B83BEF" w:rsidRDefault="00B83BEF" w:rsidP="00B83BEF">
      <w:pPr>
        <w:spacing w:after="120"/>
        <w:jc w:val="both"/>
        <w:rPr>
          <w:smallCaps/>
          <w:sz w:val="28"/>
          <w:szCs w:val="28"/>
        </w:rPr>
      </w:pPr>
    </w:p>
    <w:p w14:paraId="012E0A17" w14:textId="5F928B06" w:rsidR="00B83BEF" w:rsidRPr="004446A7" w:rsidRDefault="00B83BEF" w:rsidP="004446A7">
      <w:pPr>
        <w:spacing w:after="120"/>
        <w:jc w:val="both"/>
        <w:rPr>
          <w:sz w:val="36"/>
          <w:szCs w:val="36"/>
        </w:rPr>
      </w:pPr>
      <w:r w:rsidRPr="004446A7">
        <w:rPr>
          <w:smallCaps/>
          <w:sz w:val="36"/>
          <w:szCs w:val="36"/>
        </w:rPr>
        <w:t>Procedura postępowania na wypadek wystąpienia zaburzeń w dostarczaniu gazu ziemnego, a w szczególności nieprzewidzianego wzrostu zużycia gazu ziemnego przez odbiorców, wystąpieni</w:t>
      </w:r>
      <w:r w:rsidR="00611E4E">
        <w:rPr>
          <w:smallCaps/>
          <w:sz w:val="36"/>
          <w:szCs w:val="36"/>
        </w:rPr>
        <w:t>a</w:t>
      </w:r>
      <w:r w:rsidRPr="004446A7">
        <w:rPr>
          <w:smallCaps/>
          <w:sz w:val="36"/>
          <w:szCs w:val="36"/>
        </w:rPr>
        <w:t xml:space="preserve"> zakłóceń w dostawach gazu ziemnego, wystąpienia sytuacji awaryjnej w instalacji Odbiorcy lub dostawc</w:t>
      </w:r>
      <w:r w:rsidR="00611E4E">
        <w:rPr>
          <w:smallCaps/>
          <w:sz w:val="36"/>
          <w:szCs w:val="36"/>
        </w:rPr>
        <w:t xml:space="preserve">y </w:t>
      </w:r>
    </w:p>
    <w:p w14:paraId="008C180A" w14:textId="21D5C243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64E4A0D7" w14:textId="1014B993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061FEE9C" w14:textId="5A39D30B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77624255" w14:textId="0F97A1F4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472CD6D8" w14:textId="1E3B0811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59B147B8" w14:textId="01194BFE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42850333" w14:textId="7022F820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7EB37F20" w14:textId="4720D92C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52385236" w14:textId="55B6CAAA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6089CEEC" w14:textId="21D4148B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6024E60C" w14:textId="029A3421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70CE7A53" w14:textId="3C37C607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42B4DF79" w14:textId="2FEDF222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566EDFA3" w14:textId="76864F85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19A5A352" w14:textId="027739F7" w:rsid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32F75C8C" w14:textId="1D3DD01D" w:rsidR="00B83BEF" w:rsidRPr="00BA199C" w:rsidRDefault="00B83BEF" w:rsidP="00B83BEF">
      <w:pPr>
        <w:spacing w:line="240" w:lineRule="auto"/>
        <w:jc w:val="center"/>
        <w:rPr>
          <w:sz w:val="24"/>
          <w:szCs w:val="24"/>
          <w:lang w:eastAsia="pl-PL"/>
        </w:rPr>
      </w:pPr>
      <w:r w:rsidRPr="00BA199C">
        <w:rPr>
          <w:sz w:val="24"/>
          <w:szCs w:val="24"/>
          <w:lang w:eastAsia="pl-PL"/>
        </w:rPr>
        <w:t>Miesiąc, rok</w:t>
      </w:r>
    </w:p>
    <w:p w14:paraId="4F8EEC08" w14:textId="2F686B57" w:rsidR="00B83BEF" w:rsidRPr="008024C0" w:rsidRDefault="00B83BEF">
      <w:pPr>
        <w:spacing w:line="240" w:lineRule="auto"/>
        <w:rPr>
          <w:szCs w:val="20"/>
          <w:lang w:eastAsia="pl-PL"/>
        </w:rPr>
      </w:pPr>
      <w:r>
        <w:rPr>
          <w:b/>
          <w:sz w:val="28"/>
          <w:szCs w:val="28"/>
          <w:lang w:eastAsia="pl-PL"/>
        </w:rPr>
        <w:lastRenderedPageBreak/>
        <w:br w:type="page"/>
      </w:r>
    </w:p>
    <w:p w14:paraId="3E75D2FE" w14:textId="77777777" w:rsidR="00B83BEF" w:rsidRPr="00B83BEF" w:rsidRDefault="00B83BEF" w:rsidP="00B83BEF">
      <w:pPr>
        <w:spacing w:line="240" w:lineRule="auto"/>
        <w:jc w:val="both"/>
        <w:rPr>
          <w:b/>
          <w:sz w:val="28"/>
          <w:szCs w:val="28"/>
          <w:lang w:eastAsia="pl-PL"/>
        </w:rPr>
      </w:pPr>
    </w:p>
    <w:p w14:paraId="0160E067" w14:textId="01EB6BC5" w:rsidR="00784AC7" w:rsidRPr="00532F33" w:rsidRDefault="00784AC7" w:rsidP="005A3EEF">
      <w:pPr>
        <w:pStyle w:val="Bezodstpw0"/>
        <w:rPr>
          <w:lang w:eastAsia="pl-PL"/>
        </w:rPr>
      </w:pPr>
      <w:r w:rsidRPr="004F4A00">
        <w:rPr>
          <w:lang w:eastAsia="pl-PL"/>
        </w:rPr>
        <w:t>Tabela zmian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2268"/>
        <w:gridCol w:w="1843"/>
        <w:gridCol w:w="992"/>
      </w:tblGrid>
      <w:tr w:rsidR="00784AC7" w:rsidRPr="004F4A00" w14:paraId="6CAE7E1E" w14:textId="77777777" w:rsidTr="005A3EEF">
        <w:trPr>
          <w:cantSplit/>
          <w:trHeight w:val="37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7C8D8BF5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  <w:r w:rsidRPr="004F4A00">
              <w:rPr>
                <w:lang w:eastAsia="pl-PL"/>
              </w:rPr>
              <w:t>Lp</w:t>
            </w:r>
            <w:r w:rsidR="00EB63BC">
              <w:rPr>
                <w:lang w:eastAsia="pl-PL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5D3F2D37" w14:textId="77777777" w:rsidR="00784AC7" w:rsidRPr="004F4A00" w:rsidRDefault="00577B23" w:rsidP="005A3EE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Zmiana dotyczy</w:t>
            </w:r>
            <w:r>
              <w:rPr>
                <w:lang w:eastAsia="pl-PL"/>
              </w:rPr>
              <w:br/>
              <w:t>strona/</w:t>
            </w:r>
            <w:r w:rsidR="00784AC7" w:rsidRPr="004F4A00">
              <w:rPr>
                <w:lang w:eastAsia="pl-PL"/>
              </w:rPr>
              <w:t>punkt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14:paraId="5BB67C0F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  <w:r w:rsidRPr="004F4A00">
              <w:rPr>
                <w:lang w:eastAsia="pl-PL"/>
              </w:rPr>
              <w:t>Treść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02C22691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  <w:r w:rsidRPr="004F4A00">
              <w:rPr>
                <w:lang w:eastAsia="pl-PL"/>
              </w:rPr>
              <w:t>Data</w:t>
            </w:r>
            <w:r w:rsidRPr="004F4A00">
              <w:rPr>
                <w:lang w:eastAsia="pl-PL"/>
              </w:rPr>
              <w:br/>
              <w:t>wprowadzenia</w:t>
            </w:r>
            <w:r w:rsidRPr="004F4A00">
              <w:rPr>
                <w:lang w:eastAsia="pl-PL"/>
              </w:rPr>
              <w:br/>
              <w:t>zmiany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6D4E375B" w14:textId="77777777" w:rsidR="00784AC7" w:rsidRPr="004F4A00" w:rsidRDefault="00784AC7" w:rsidP="005A3EEF">
            <w:pPr>
              <w:jc w:val="center"/>
              <w:rPr>
                <w:i/>
                <w:lang w:eastAsia="pl-PL"/>
              </w:rPr>
            </w:pPr>
            <w:bookmarkStart w:id="0" w:name="_Toc345314754"/>
            <w:r w:rsidRPr="004F4A00">
              <w:rPr>
                <w:lang w:eastAsia="pl-PL"/>
              </w:rPr>
              <w:t>Uwagi</w:t>
            </w:r>
            <w:bookmarkEnd w:id="0"/>
          </w:p>
        </w:tc>
      </w:tr>
      <w:tr w:rsidR="00784AC7" w:rsidRPr="004F4A00" w14:paraId="1E5357BE" w14:textId="77777777" w:rsidTr="005A3EEF">
        <w:trPr>
          <w:cantSplit/>
        </w:trPr>
        <w:tc>
          <w:tcPr>
            <w:tcW w:w="567" w:type="dxa"/>
            <w:vMerge/>
            <w:vAlign w:val="center"/>
          </w:tcPr>
          <w:p w14:paraId="7D293091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30392BA1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C4B8A32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  <w:r w:rsidRPr="004F4A00">
              <w:rPr>
                <w:lang w:eastAsia="pl-PL"/>
              </w:rPr>
              <w:t>Przed zmianą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015750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  <w:r w:rsidRPr="004F4A00">
              <w:rPr>
                <w:lang w:eastAsia="pl-PL"/>
              </w:rPr>
              <w:t>Po zmianie</w:t>
            </w:r>
          </w:p>
        </w:tc>
        <w:tc>
          <w:tcPr>
            <w:tcW w:w="1843" w:type="dxa"/>
            <w:vMerge/>
            <w:vAlign w:val="center"/>
          </w:tcPr>
          <w:p w14:paraId="637F65E9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759149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</w:tr>
      <w:tr w:rsidR="00784AC7" w:rsidRPr="004F4A00" w14:paraId="4D6825C6" w14:textId="77777777" w:rsidTr="003E2369">
        <w:trPr>
          <w:cantSplit/>
          <w:trHeight w:hRule="exact" w:val="232"/>
        </w:trPr>
        <w:tc>
          <w:tcPr>
            <w:tcW w:w="567" w:type="dxa"/>
            <w:shd w:val="clear" w:color="auto" w:fill="FFFFFF"/>
          </w:tcPr>
          <w:p w14:paraId="7E59CCAA" w14:textId="77777777" w:rsidR="00784AC7" w:rsidRPr="004F4A00" w:rsidRDefault="00784AC7" w:rsidP="003E2369">
            <w:pPr>
              <w:spacing w:line="480" w:lineRule="auto"/>
              <w:jc w:val="center"/>
              <w:rPr>
                <w:lang w:eastAsia="pl-PL"/>
              </w:rPr>
            </w:pPr>
            <w:r w:rsidRPr="004F4A00">
              <w:rPr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14:paraId="560DA23F" w14:textId="77777777" w:rsidR="00784AC7" w:rsidRPr="004F4A00" w:rsidRDefault="00784AC7" w:rsidP="003E2369">
            <w:pPr>
              <w:spacing w:line="480" w:lineRule="auto"/>
              <w:jc w:val="center"/>
              <w:rPr>
                <w:lang w:eastAsia="pl-PL"/>
              </w:rPr>
            </w:pPr>
            <w:r w:rsidRPr="004F4A00">
              <w:rPr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64163AE7" w14:textId="77777777" w:rsidR="00784AC7" w:rsidRPr="004F4A00" w:rsidRDefault="00784AC7" w:rsidP="003E2369">
            <w:pPr>
              <w:spacing w:line="480" w:lineRule="auto"/>
              <w:jc w:val="center"/>
              <w:rPr>
                <w:lang w:eastAsia="pl-PL"/>
              </w:rPr>
            </w:pPr>
            <w:r w:rsidRPr="004F4A00">
              <w:rPr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14:paraId="43DE9EF6" w14:textId="77777777" w:rsidR="00784AC7" w:rsidRPr="004F4A00" w:rsidRDefault="00784AC7" w:rsidP="003E2369">
            <w:pPr>
              <w:spacing w:line="480" w:lineRule="auto"/>
              <w:jc w:val="center"/>
              <w:rPr>
                <w:lang w:eastAsia="pl-PL"/>
              </w:rPr>
            </w:pPr>
            <w:r w:rsidRPr="004F4A00">
              <w:rPr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4E85248C" w14:textId="77777777" w:rsidR="00784AC7" w:rsidRPr="004F4A00" w:rsidRDefault="00784AC7" w:rsidP="003E2369">
            <w:pPr>
              <w:spacing w:line="480" w:lineRule="auto"/>
              <w:jc w:val="center"/>
              <w:rPr>
                <w:lang w:eastAsia="pl-PL"/>
              </w:rPr>
            </w:pPr>
            <w:r w:rsidRPr="004F4A00">
              <w:rPr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14:paraId="64D7FF40" w14:textId="77777777" w:rsidR="00784AC7" w:rsidRPr="004F4A00" w:rsidRDefault="00784AC7" w:rsidP="003E2369">
            <w:pPr>
              <w:spacing w:line="480" w:lineRule="auto"/>
              <w:jc w:val="center"/>
              <w:rPr>
                <w:lang w:eastAsia="pl-PL"/>
              </w:rPr>
            </w:pPr>
            <w:r w:rsidRPr="004F4A00">
              <w:rPr>
                <w:lang w:eastAsia="pl-PL"/>
              </w:rPr>
              <w:t>6</w:t>
            </w:r>
          </w:p>
        </w:tc>
      </w:tr>
      <w:tr w:rsidR="00784AC7" w:rsidRPr="004F4A00" w14:paraId="3EA05625" w14:textId="77777777" w:rsidTr="005A3EEF">
        <w:trPr>
          <w:cantSplit/>
          <w:trHeight w:val="370"/>
        </w:trPr>
        <w:tc>
          <w:tcPr>
            <w:tcW w:w="567" w:type="dxa"/>
            <w:shd w:val="clear" w:color="auto" w:fill="FFFFFF"/>
            <w:vAlign w:val="center"/>
          </w:tcPr>
          <w:p w14:paraId="2F7DE982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C73EC22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63687E7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5088190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5F2038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663D2F3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</w:tr>
      <w:tr w:rsidR="00784AC7" w:rsidRPr="004F4A00" w14:paraId="5F39824F" w14:textId="77777777" w:rsidTr="005A3EEF">
        <w:trPr>
          <w:cantSplit/>
          <w:trHeight w:val="370"/>
        </w:trPr>
        <w:tc>
          <w:tcPr>
            <w:tcW w:w="567" w:type="dxa"/>
            <w:shd w:val="clear" w:color="auto" w:fill="FFFFFF"/>
            <w:vAlign w:val="center"/>
          </w:tcPr>
          <w:p w14:paraId="2815A72E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1BB4C1A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9636AB8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601F68D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5C53AB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50295CB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</w:tr>
      <w:tr w:rsidR="00784AC7" w:rsidRPr="004F4A00" w14:paraId="2DF5CF43" w14:textId="77777777" w:rsidTr="005A3EEF">
        <w:trPr>
          <w:cantSplit/>
          <w:trHeight w:val="370"/>
        </w:trPr>
        <w:tc>
          <w:tcPr>
            <w:tcW w:w="567" w:type="dxa"/>
            <w:shd w:val="clear" w:color="auto" w:fill="FFFFFF"/>
            <w:vAlign w:val="center"/>
          </w:tcPr>
          <w:p w14:paraId="3C48EA50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451E231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45F578D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8AEAFB0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96C942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3B3A60B" w14:textId="77777777" w:rsidR="00784AC7" w:rsidRPr="004F4A00" w:rsidRDefault="00784AC7" w:rsidP="005A3EEF">
            <w:pPr>
              <w:jc w:val="center"/>
              <w:rPr>
                <w:lang w:eastAsia="pl-PL"/>
              </w:rPr>
            </w:pPr>
          </w:p>
        </w:tc>
      </w:tr>
    </w:tbl>
    <w:p w14:paraId="4A1CF9F5" w14:textId="77777777" w:rsidR="003E26A7" w:rsidRDefault="003E26A7" w:rsidP="00347077">
      <w:pPr>
        <w:rPr>
          <w:lang w:eastAsia="pl-PL"/>
        </w:rPr>
      </w:pPr>
    </w:p>
    <w:p w14:paraId="54AE03D2" w14:textId="77777777" w:rsidR="003E26A7" w:rsidRDefault="003E26A7" w:rsidP="00347077">
      <w:pPr>
        <w:rPr>
          <w:lang w:eastAsia="pl-PL"/>
        </w:rPr>
      </w:pPr>
    </w:p>
    <w:p w14:paraId="32D564A2" w14:textId="77777777" w:rsidR="008A1211" w:rsidRPr="004F4A00" w:rsidRDefault="008A1211" w:rsidP="005A3EEF">
      <w:pPr>
        <w:pStyle w:val="Bezodstpw0"/>
        <w:rPr>
          <w:lang w:eastAsia="pl-PL"/>
        </w:rPr>
      </w:pPr>
      <w:r>
        <w:rPr>
          <w:lang w:eastAsia="pl-PL"/>
        </w:rPr>
        <w:t>S</w:t>
      </w:r>
      <w:r w:rsidRPr="004F4A00">
        <w:rPr>
          <w:lang w:eastAsia="pl-PL"/>
        </w:rPr>
        <w:t>pis treści</w:t>
      </w:r>
      <w:r w:rsidR="001730BB">
        <w:rPr>
          <w:lang w:eastAsia="pl-PL"/>
        </w:rPr>
        <w:t>:</w:t>
      </w:r>
    </w:p>
    <w:p w14:paraId="3E4C53E5" w14:textId="7D067184" w:rsidR="00C85B83" w:rsidRPr="00D0480D" w:rsidRDefault="00D14099" w:rsidP="00D0480D">
      <w:pPr>
        <w:pStyle w:val="Spistreci1"/>
        <w:rPr>
          <w:rStyle w:val="Hipercze"/>
          <w:noProof/>
        </w:rPr>
      </w:pPr>
      <w:r w:rsidRPr="00D0480D">
        <w:rPr>
          <w:rStyle w:val="Hipercze"/>
          <w:noProof/>
        </w:rPr>
        <w:fldChar w:fldCharType="begin"/>
      </w:r>
      <w:r w:rsidR="0053525C" w:rsidRPr="00D0480D">
        <w:rPr>
          <w:rStyle w:val="Hipercze"/>
          <w:noProof/>
        </w:rPr>
        <w:instrText xml:space="preserve"> TOC \o "1-3" \h \z \u </w:instrText>
      </w:r>
      <w:r w:rsidRPr="00D0480D">
        <w:rPr>
          <w:rStyle w:val="Hipercze"/>
          <w:noProof/>
        </w:rPr>
        <w:fldChar w:fldCharType="separate"/>
      </w:r>
      <w:hyperlink w:anchor="_Toc509489492" w:history="1">
        <w:r w:rsidR="00C85B83" w:rsidRPr="00C85B83">
          <w:rPr>
            <w:rStyle w:val="Hipercze"/>
            <w:noProof/>
          </w:rPr>
          <w:t>1.</w:t>
        </w:r>
        <w:r w:rsidR="00C85B83" w:rsidRPr="00D0480D">
          <w:rPr>
            <w:rStyle w:val="Hipercze"/>
            <w:noProof/>
          </w:rPr>
          <w:tab/>
        </w:r>
        <w:r w:rsidR="00C85B83" w:rsidRPr="00C85B83">
          <w:rPr>
            <w:rStyle w:val="Hipercze"/>
            <w:noProof/>
          </w:rPr>
          <w:t>Cel i zakres Procedury</w:t>
        </w:r>
        <w:r w:rsidR="00C85B83" w:rsidRPr="00D0480D">
          <w:rPr>
            <w:rStyle w:val="Hipercze"/>
            <w:noProof/>
            <w:webHidden/>
          </w:rPr>
          <w:tab/>
        </w:r>
        <w:r w:rsidR="00C85B83" w:rsidRPr="00D0480D">
          <w:rPr>
            <w:rStyle w:val="Hipercze"/>
            <w:noProof/>
            <w:webHidden/>
          </w:rPr>
          <w:fldChar w:fldCharType="begin"/>
        </w:r>
        <w:r w:rsidR="00C85B83" w:rsidRPr="00D0480D">
          <w:rPr>
            <w:rStyle w:val="Hipercze"/>
            <w:noProof/>
            <w:webHidden/>
          </w:rPr>
          <w:instrText xml:space="preserve"> PAGEREF _Toc509489492 \h </w:instrText>
        </w:r>
        <w:r w:rsidR="00C85B83" w:rsidRPr="00D0480D">
          <w:rPr>
            <w:rStyle w:val="Hipercze"/>
            <w:noProof/>
            <w:webHidden/>
          </w:rPr>
        </w:r>
        <w:r w:rsidR="00C85B83" w:rsidRPr="00D0480D">
          <w:rPr>
            <w:rStyle w:val="Hipercze"/>
            <w:noProof/>
            <w:webHidden/>
          </w:rPr>
          <w:fldChar w:fldCharType="separate"/>
        </w:r>
        <w:r w:rsidR="00CE3306">
          <w:rPr>
            <w:rStyle w:val="Hipercze"/>
            <w:noProof/>
            <w:webHidden/>
          </w:rPr>
          <w:t>4</w:t>
        </w:r>
        <w:r w:rsidR="00C85B83" w:rsidRPr="00D0480D">
          <w:rPr>
            <w:rStyle w:val="Hipercze"/>
            <w:noProof/>
            <w:webHidden/>
          </w:rPr>
          <w:fldChar w:fldCharType="end"/>
        </w:r>
      </w:hyperlink>
    </w:p>
    <w:p w14:paraId="113B55A1" w14:textId="61031DFB" w:rsidR="00C85B83" w:rsidRPr="00D0480D" w:rsidRDefault="00EE3060" w:rsidP="00D0480D">
      <w:pPr>
        <w:pStyle w:val="Spistreci1"/>
        <w:rPr>
          <w:rStyle w:val="Hipercze"/>
          <w:noProof/>
        </w:rPr>
      </w:pPr>
      <w:hyperlink w:anchor="_Toc509489493" w:history="1">
        <w:r w:rsidR="00C85B83" w:rsidRPr="00C85B83">
          <w:rPr>
            <w:rStyle w:val="Hipercze"/>
            <w:noProof/>
          </w:rPr>
          <w:t>2.</w:t>
        </w:r>
        <w:r w:rsidR="00C85B83" w:rsidRPr="00D0480D">
          <w:rPr>
            <w:rStyle w:val="Hipercze"/>
            <w:noProof/>
          </w:rPr>
          <w:tab/>
        </w:r>
        <w:r w:rsidR="00C85B83" w:rsidRPr="00C85B83">
          <w:rPr>
            <w:rStyle w:val="Hipercze"/>
            <w:noProof/>
          </w:rPr>
          <w:t>Definicje</w:t>
        </w:r>
        <w:r w:rsidR="00C85B83" w:rsidRPr="00D0480D">
          <w:rPr>
            <w:rStyle w:val="Hipercze"/>
            <w:noProof/>
            <w:webHidden/>
          </w:rPr>
          <w:tab/>
        </w:r>
        <w:r w:rsidR="00C85B83" w:rsidRPr="00D0480D">
          <w:rPr>
            <w:rStyle w:val="Hipercze"/>
            <w:noProof/>
            <w:webHidden/>
          </w:rPr>
          <w:fldChar w:fldCharType="begin"/>
        </w:r>
        <w:r w:rsidR="00C85B83" w:rsidRPr="00D0480D">
          <w:rPr>
            <w:rStyle w:val="Hipercze"/>
            <w:noProof/>
            <w:webHidden/>
          </w:rPr>
          <w:instrText xml:space="preserve"> PAGEREF _Toc509489493 \h </w:instrText>
        </w:r>
        <w:r w:rsidR="00C85B83" w:rsidRPr="00D0480D">
          <w:rPr>
            <w:rStyle w:val="Hipercze"/>
            <w:noProof/>
            <w:webHidden/>
          </w:rPr>
        </w:r>
        <w:r w:rsidR="00C85B83" w:rsidRPr="00D0480D">
          <w:rPr>
            <w:rStyle w:val="Hipercze"/>
            <w:noProof/>
            <w:webHidden/>
          </w:rPr>
          <w:fldChar w:fldCharType="separate"/>
        </w:r>
        <w:r w:rsidR="00CE3306">
          <w:rPr>
            <w:rStyle w:val="Hipercze"/>
            <w:noProof/>
            <w:webHidden/>
          </w:rPr>
          <w:t>5</w:t>
        </w:r>
        <w:r w:rsidR="00C85B83" w:rsidRPr="00D0480D">
          <w:rPr>
            <w:rStyle w:val="Hipercze"/>
            <w:noProof/>
            <w:webHidden/>
          </w:rPr>
          <w:fldChar w:fldCharType="end"/>
        </w:r>
      </w:hyperlink>
    </w:p>
    <w:p w14:paraId="2C50C85F" w14:textId="378ED224" w:rsidR="00C85B83" w:rsidRPr="00D0480D" w:rsidRDefault="00EE3060" w:rsidP="00D0480D">
      <w:pPr>
        <w:pStyle w:val="Spistreci1"/>
        <w:rPr>
          <w:rStyle w:val="Hipercze"/>
          <w:noProof/>
        </w:rPr>
      </w:pPr>
      <w:hyperlink w:anchor="_Toc509489494" w:history="1">
        <w:r w:rsidR="00C85B83" w:rsidRPr="00C85B83">
          <w:rPr>
            <w:rStyle w:val="Hipercze"/>
            <w:noProof/>
          </w:rPr>
          <w:t>3.</w:t>
        </w:r>
        <w:r w:rsidR="00C85B83" w:rsidRPr="00D0480D">
          <w:rPr>
            <w:rStyle w:val="Hipercze"/>
            <w:noProof/>
          </w:rPr>
          <w:tab/>
        </w:r>
        <w:r w:rsidR="00C85B83" w:rsidRPr="00C85B83">
          <w:rPr>
            <w:rStyle w:val="Hipercze"/>
            <w:noProof/>
          </w:rPr>
          <w:t>Charakterystyka przedsiębiorstwa</w:t>
        </w:r>
        <w:r w:rsidR="00C85B83" w:rsidRPr="00D0480D">
          <w:rPr>
            <w:rStyle w:val="Hipercze"/>
            <w:noProof/>
            <w:webHidden/>
          </w:rPr>
          <w:tab/>
        </w:r>
        <w:r w:rsidR="00C85B83" w:rsidRPr="00D0480D">
          <w:rPr>
            <w:rStyle w:val="Hipercze"/>
            <w:noProof/>
            <w:webHidden/>
          </w:rPr>
          <w:fldChar w:fldCharType="begin"/>
        </w:r>
        <w:r w:rsidR="00C85B83" w:rsidRPr="00D0480D">
          <w:rPr>
            <w:rStyle w:val="Hipercze"/>
            <w:noProof/>
            <w:webHidden/>
          </w:rPr>
          <w:instrText xml:space="preserve"> PAGEREF _Toc509489494 \h </w:instrText>
        </w:r>
        <w:r w:rsidR="00C85B83" w:rsidRPr="00D0480D">
          <w:rPr>
            <w:rStyle w:val="Hipercze"/>
            <w:noProof/>
            <w:webHidden/>
          </w:rPr>
        </w:r>
        <w:r w:rsidR="00C85B83" w:rsidRPr="00D0480D">
          <w:rPr>
            <w:rStyle w:val="Hipercze"/>
            <w:noProof/>
            <w:webHidden/>
          </w:rPr>
          <w:fldChar w:fldCharType="separate"/>
        </w:r>
        <w:r w:rsidR="00CE3306">
          <w:rPr>
            <w:rStyle w:val="Hipercze"/>
            <w:noProof/>
            <w:webHidden/>
          </w:rPr>
          <w:t>5</w:t>
        </w:r>
        <w:r w:rsidR="00C85B83" w:rsidRPr="00D0480D">
          <w:rPr>
            <w:rStyle w:val="Hipercze"/>
            <w:noProof/>
            <w:webHidden/>
          </w:rPr>
          <w:fldChar w:fldCharType="end"/>
        </w:r>
      </w:hyperlink>
    </w:p>
    <w:p w14:paraId="3223B7E8" w14:textId="14B1FC3B" w:rsidR="00C85B83" w:rsidRPr="00D0480D" w:rsidRDefault="00EE3060" w:rsidP="00D0480D">
      <w:pPr>
        <w:pStyle w:val="Spistreci2"/>
        <w:rPr>
          <w:rStyle w:val="Hipercze"/>
          <w:caps/>
          <w:noProof/>
          <w:szCs w:val="24"/>
        </w:rPr>
      </w:pPr>
      <w:hyperlink w:anchor="_Toc509489495" w:history="1">
        <w:r w:rsidR="00C85B83" w:rsidRPr="00D0480D">
          <w:rPr>
            <w:rStyle w:val="Hipercze"/>
            <w:caps/>
            <w:noProof/>
            <w:szCs w:val="24"/>
          </w:rPr>
          <w:t>4.</w:t>
        </w:r>
        <w:r w:rsidR="00C85B83" w:rsidRPr="00D0480D">
          <w:rPr>
            <w:rStyle w:val="Hipercze"/>
            <w:caps/>
            <w:noProof/>
            <w:szCs w:val="24"/>
          </w:rPr>
          <w:tab/>
          <w:t>Działania mające na celu zabezpieczenia dostaw gazu dla odbiorców chronionych</w:t>
        </w:r>
        <w:r w:rsidR="00C85B83" w:rsidRPr="00D0480D">
          <w:rPr>
            <w:rStyle w:val="Hipercze"/>
            <w:caps/>
            <w:noProof/>
            <w:webHidden/>
            <w:szCs w:val="24"/>
          </w:rPr>
          <w:tab/>
        </w:r>
        <w:r w:rsidR="00C85B83" w:rsidRPr="00D0480D">
          <w:rPr>
            <w:rStyle w:val="Hipercze"/>
            <w:caps/>
            <w:noProof/>
            <w:webHidden/>
            <w:szCs w:val="24"/>
          </w:rPr>
          <w:fldChar w:fldCharType="begin"/>
        </w:r>
        <w:r w:rsidR="00C85B83" w:rsidRPr="00D0480D">
          <w:rPr>
            <w:rStyle w:val="Hipercze"/>
            <w:caps/>
            <w:noProof/>
            <w:webHidden/>
            <w:szCs w:val="24"/>
          </w:rPr>
          <w:instrText xml:space="preserve"> PAGEREF _Toc509489495 \h </w:instrText>
        </w:r>
        <w:r w:rsidR="00C85B83" w:rsidRPr="00D0480D">
          <w:rPr>
            <w:rStyle w:val="Hipercze"/>
            <w:caps/>
            <w:noProof/>
            <w:webHidden/>
            <w:szCs w:val="24"/>
          </w:rPr>
        </w:r>
        <w:r w:rsidR="00C85B83" w:rsidRPr="00D0480D">
          <w:rPr>
            <w:rStyle w:val="Hipercze"/>
            <w:caps/>
            <w:noProof/>
            <w:webHidden/>
            <w:szCs w:val="24"/>
          </w:rPr>
          <w:fldChar w:fldCharType="separate"/>
        </w:r>
        <w:r w:rsidR="00CE3306">
          <w:rPr>
            <w:rStyle w:val="Hipercze"/>
            <w:caps/>
            <w:noProof/>
            <w:webHidden/>
            <w:szCs w:val="24"/>
          </w:rPr>
          <w:t>6</w:t>
        </w:r>
        <w:r w:rsidR="00C85B83" w:rsidRPr="00D0480D">
          <w:rPr>
            <w:rStyle w:val="Hipercze"/>
            <w:caps/>
            <w:noProof/>
            <w:webHidden/>
            <w:szCs w:val="24"/>
          </w:rPr>
          <w:fldChar w:fldCharType="end"/>
        </w:r>
      </w:hyperlink>
    </w:p>
    <w:p w14:paraId="1F531F7E" w14:textId="58B5C7DB" w:rsidR="00C85B83" w:rsidRPr="00D0480D" w:rsidRDefault="00EE3060" w:rsidP="00D0480D">
      <w:pPr>
        <w:pStyle w:val="Spistreci1"/>
        <w:rPr>
          <w:rStyle w:val="Hipercze"/>
          <w:noProof/>
        </w:rPr>
      </w:pPr>
      <w:hyperlink w:anchor="_Toc509489496" w:history="1">
        <w:r w:rsidR="00C85B83" w:rsidRPr="00C85B83">
          <w:rPr>
            <w:rStyle w:val="Hipercze"/>
            <w:noProof/>
          </w:rPr>
          <w:t>5.</w:t>
        </w:r>
        <w:r w:rsidR="00C85B83" w:rsidRPr="00D0480D">
          <w:rPr>
            <w:rStyle w:val="Hipercze"/>
            <w:noProof/>
          </w:rPr>
          <w:tab/>
        </w:r>
        <w:r w:rsidR="00C85B83" w:rsidRPr="00C85B83">
          <w:rPr>
            <w:rStyle w:val="Hipercze"/>
            <w:noProof/>
          </w:rPr>
          <w:t>Opis postępowania - planowane działania w sytuacji zagrożenia bezpieczeństwa dostaw gazu ziemnego oraz innych zdarzeń nieprzewidzianych Procedurą, a mogących mieć wpływ na bezpieczeństwo dostaw gazu do odbiorców.</w:t>
        </w:r>
        <w:r w:rsidR="00C85B83" w:rsidRPr="00D0480D">
          <w:rPr>
            <w:rStyle w:val="Hipercze"/>
            <w:noProof/>
            <w:webHidden/>
          </w:rPr>
          <w:tab/>
        </w:r>
        <w:r w:rsidR="00C85B83" w:rsidRPr="00D0480D">
          <w:rPr>
            <w:rStyle w:val="Hipercze"/>
            <w:noProof/>
            <w:webHidden/>
          </w:rPr>
          <w:fldChar w:fldCharType="begin"/>
        </w:r>
        <w:r w:rsidR="00C85B83" w:rsidRPr="00D0480D">
          <w:rPr>
            <w:rStyle w:val="Hipercze"/>
            <w:noProof/>
            <w:webHidden/>
          </w:rPr>
          <w:instrText xml:space="preserve"> PAGEREF _Toc509489496 \h </w:instrText>
        </w:r>
        <w:r w:rsidR="00C85B83" w:rsidRPr="00D0480D">
          <w:rPr>
            <w:rStyle w:val="Hipercze"/>
            <w:noProof/>
            <w:webHidden/>
          </w:rPr>
        </w:r>
        <w:r w:rsidR="00C85B83" w:rsidRPr="00D0480D">
          <w:rPr>
            <w:rStyle w:val="Hipercze"/>
            <w:noProof/>
            <w:webHidden/>
          </w:rPr>
          <w:fldChar w:fldCharType="separate"/>
        </w:r>
        <w:r w:rsidR="00CE3306">
          <w:rPr>
            <w:rStyle w:val="Hipercze"/>
            <w:noProof/>
            <w:webHidden/>
          </w:rPr>
          <w:t>7</w:t>
        </w:r>
        <w:r w:rsidR="00C85B83" w:rsidRPr="00D0480D">
          <w:rPr>
            <w:rStyle w:val="Hipercze"/>
            <w:noProof/>
            <w:webHidden/>
          </w:rPr>
          <w:fldChar w:fldCharType="end"/>
        </w:r>
      </w:hyperlink>
    </w:p>
    <w:p w14:paraId="52EBE0F1" w14:textId="5377E129" w:rsidR="00C85B83" w:rsidRPr="00D0480D" w:rsidRDefault="00EE3060" w:rsidP="00D0480D">
      <w:pPr>
        <w:pStyle w:val="Spistreci2"/>
        <w:rPr>
          <w:rStyle w:val="Hipercze"/>
          <w:caps/>
          <w:noProof/>
          <w:szCs w:val="24"/>
        </w:rPr>
      </w:pPr>
      <w:hyperlink w:anchor="_Toc509489497" w:history="1">
        <w:r w:rsidR="00C85B83" w:rsidRPr="00D0480D">
          <w:rPr>
            <w:rStyle w:val="Hipercze"/>
            <w:caps/>
            <w:noProof/>
            <w:szCs w:val="24"/>
          </w:rPr>
          <w:t>5.1</w:t>
        </w:r>
        <w:r w:rsidR="00C85B83" w:rsidRPr="00D0480D">
          <w:rPr>
            <w:rStyle w:val="Hipercze"/>
            <w:caps/>
            <w:noProof/>
            <w:szCs w:val="24"/>
          </w:rPr>
          <w:tab/>
          <w:t>Dostępne środki rynkowe oraz sposób ich wprowadzenia</w:t>
        </w:r>
        <w:r w:rsidR="00C85B83" w:rsidRPr="00D0480D">
          <w:rPr>
            <w:rStyle w:val="Hipercze"/>
            <w:caps/>
            <w:noProof/>
            <w:webHidden/>
            <w:szCs w:val="24"/>
          </w:rPr>
          <w:tab/>
        </w:r>
        <w:r w:rsidR="00C85B83" w:rsidRPr="00D0480D">
          <w:rPr>
            <w:rStyle w:val="Hipercze"/>
            <w:caps/>
            <w:noProof/>
            <w:webHidden/>
            <w:szCs w:val="24"/>
          </w:rPr>
          <w:fldChar w:fldCharType="begin"/>
        </w:r>
        <w:r w:rsidR="00C85B83" w:rsidRPr="00D0480D">
          <w:rPr>
            <w:rStyle w:val="Hipercze"/>
            <w:caps/>
            <w:noProof/>
            <w:webHidden/>
            <w:szCs w:val="24"/>
          </w:rPr>
          <w:instrText xml:space="preserve"> PAGEREF _Toc509489497 \h </w:instrText>
        </w:r>
        <w:r w:rsidR="00C85B83" w:rsidRPr="00D0480D">
          <w:rPr>
            <w:rStyle w:val="Hipercze"/>
            <w:caps/>
            <w:noProof/>
            <w:webHidden/>
            <w:szCs w:val="24"/>
          </w:rPr>
        </w:r>
        <w:r w:rsidR="00C85B83" w:rsidRPr="00D0480D">
          <w:rPr>
            <w:rStyle w:val="Hipercze"/>
            <w:caps/>
            <w:noProof/>
            <w:webHidden/>
            <w:szCs w:val="24"/>
          </w:rPr>
          <w:fldChar w:fldCharType="separate"/>
        </w:r>
        <w:r w:rsidR="00CE3306">
          <w:rPr>
            <w:rStyle w:val="Hipercze"/>
            <w:caps/>
            <w:noProof/>
            <w:webHidden/>
            <w:szCs w:val="24"/>
          </w:rPr>
          <w:t>7</w:t>
        </w:r>
        <w:r w:rsidR="00C85B83" w:rsidRPr="00D0480D">
          <w:rPr>
            <w:rStyle w:val="Hipercze"/>
            <w:caps/>
            <w:noProof/>
            <w:webHidden/>
            <w:szCs w:val="24"/>
          </w:rPr>
          <w:fldChar w:fldCharType="end"/>
        </w:r>
      </w:hyperlink>
    </w:p>
    <w:p w14:paraId="3E2151EC" w14:textId="25AE1B61" w:rsidR="00C85B83" w:rsidRPr="00D0480D" w:rsidRDefault="00EE3060" w:rsidP="00D0480D">
      <w:pPr>
        <w:pStyle w:val="Spistreci2"/>
        <w:rPr>
          <w:rStyle w:val="Hipercze"/>
          <w:caps/>
          <w:noProof/>
          <w:szCs w:val="24"/>
        </w:rPr>
      </w:pPr>
      <w:hyperlink w:anchor="_Toc509489498" w:history="1">
        <w:r w:rsidR="00C85B83" w:rsidRPr="00D0480D">
          <w:rPr>
            <w:rStyle w:val="Hipercze"/>
            <w:caps/>
            <w:noProof/>
            <w:szCs w:val="24"/>
          </w:rPr>
          <w:t>5.2.</w:t>
        </w:r>
        <w:r w:rsidR="00C85B83" w:rsidRPr="00D0480D">
          <w:rPr>
            <w:rStyle w:val="Hipercze"/>
            <w:caps/>
            <w:noProof/>
            <w:szCs w:val="24"/>
          </w:rPr>
          <w:tab/>
          <w:t>Możliwe do zastosowania środki nierynkowe oraz sposób ich wprowadzenia</w:t>
        </w:r>
        <w:r w:rsidR="00C85B83" w:rsidRPr="00D0480D">
          <w:rPr>
            <w:rStyle w:val="Hipercze"/>
            <w:caps/>
            <w:noProof/>
            <w:webHidden/>
            <w:szCs w:val="24"/>
          </w:rPr>
          <w:tab/>
        </w:r>
        <w:r w:rsidR="00C85B83" w:rsidRPr="00D0480D">
          <w:rPr>
            <w:rStyle w:val="Hipercze"/>
            <w:caps/>
            <w:noProof/>
            <w:webHidden/>
            <w:szCs w:val="24"/>
          </w:rPr>
          <w:fldChar w:fldCharType="begin"/>
        </w:r>
        <w:r w:rsidR="00C85B83" w:rsidRPr="00D0480D">
          <w:rPr>
            <w:rStyle w:val="Hipercze"/>
            <w:caps/>
            <w:noProof/>
            <w:webHidden/>
            <w:szCs w:val="24"/>
          </w:rPr>
          <w:instrText xml:space="preserve"> PAGEREF _Toc509489498 \h </w:instrText>
        </w:r>
        <w:r w:rsidR="00C85B83" w:rsidRPr="00D0480D">
          <w:rPr>
            <w:rStyle w:val="Hipercze"/>
            <w:caps/>
            <w:noProof/>
            <w:webHidden/>
            <w:szCs w:val="24"/>
          </w:rPr>
        </w:r>
        <w:r w:rsidR="00C85B83" w:rsidRPr="00D0480D">
          <w:rPr>
            <w:rStyle w:val="Hipercze"/>
            <w:caps/>
            <w:noProof/>
            <w:webHidden/>
            <w:szCs w:val="24"/>
          </w:rPr>
          <w:fldChar w:fldCharType="separate"/>
        </w:r>
        <w:r w:rsidR="00CE3306">
          <w:rPr>
            <w:rStyle w:val="Hipercze"/>
            <w:caps/>
            <w:noProof/>
            <w:webHidden/>
            <w:szCs w:val="24"/>
          </w:rPr>
          <w:t>9</w:t>
        </w:r>
        <w:r w:rsidR="00C85B83" w:rsidRPr="00D0480D">
          <w:rPr>
            <w:rStyle w:val="Hipercze"/>
            <w:caps/>
            <w:noProof/>
            <w:webHidden/>
            <w:szCs w:val="24"/>
          </w:rPr>
          <w:fldChar w:fldCharType="end"/>
        </w:r>
      </w:hyperlink>
    </w:p>
    <w:p w14:paraId="1F509271" w14:textId="2ED888FC" w:rsidR="00C85B83" w:rsidRPr="00D0480D" w:rsidRDefault="00EE3060" w:rsidP="00D0480D">
      <w:pPr>
        <w:pStyle w:val="Spistreci1"/>
        <w:rPr>
          <w:rStyle w:val="Hipercze"/>
          <w:noProof/>
        </w:rPr>
      </w:pPr>
      <w:hyperlink w:anchor="_Toc509489499" w:history="1">
        <w:r w:rsidR="00C85B83" w:rsidRPr="00C85B83">
          <w:rPr>
            <w:rStyle w:val="Hipercze"/>
            <w:noProof/>
          </w:rPr>
          <w:t>6.</w:t>
        </w:r>
        <w:r w:rsidR="00C85B83" w:rsidRPr="00D0480D">
          <w:rPr>
            <w:rStyle w:val="Hipercze"/>
            <w:noProof/>
          </w:rPr>
          <w:tab/>
        </w:r>
        <w:r w:rsidR="00C85B83" w:rsidRPr="00C85B83">
          <w:rPr>
            <w:rStyle w:val="Hipercze"/>
            <w:noProof/>
          </w:rPr>
          <w:t>Zasady współpracy z odbiorcami gazu ziemnego, innymi użytkownikami systemu, współpracującymi operatorami (w tym odbiorcami końcowymi)</w:t>
        </w:r>
        <w:r w:rsidR="00C85B83" w:rsidRPr="00D0480D">
          <w:rPr>
            <w:rStyle w:val="Hipercze"/>
            <w:noProof/>
            <w:webHidden/>
          </w:rPr>
          <w:tab/>
        </w:r>
        <w:r w:rsidR="00C85B83" w:rsidRPr="00D0480D">
          <w:rPr>
            <w:rStyle w:val="Hipercze"/>
            <w:noProof/>
            <w:webHidden/>
          </w:rPr>
          <w:fldChar w:fldCharType="begin"/>
        </w:r>
        <w:r w:rsidR="00C85B83" w:rsidRPr="00D0480D">
          <w:rPr>
            <w:rStyle w:val="Hipercze"/>
            <w:noProof/>
            <w:webHidden/>
          </w:rPr>
          <w:instrText xml:space="preserve"> PAGEREF _Toc509489499 \h </w:instrText>
        </w:r>
        <w:r w:rsidR="00C85B83" w:rsidRPr="00D0480D">
          <w:rPr>
            <w:rStyle w:val="Hipercze"/>
            <w:noProof/>
            <w:webHidden/>
          </w:rPr>
        </w:r>
        <w:r w:rsidR="00C85B83" w:rsidRPr="00D0480D">
          <w:rPr>
            <w:rStyle w:val="Hipercze"/>
            <w:noProof/>
            <w:webHidden/>
          </w:rPr>
          <w:fldChar w:fldCharType="separate"/>
        </w:r>
        <w:r w:rsidR="00CE3306">
          <w:rPr>
            <w:rStyle w:val="Hipercze"/>
            <w:noProof/>
            <w:webHidden/>
          </w:rPr>
          <w:t>10</w:t>
        </w:r>
        <w:r w:rsidR="00C85B83" w:rsidRPr="00D0480D">
          <w:rPr>
            <w:rStyle w:val="Hipercze"/>
            <w:noProof/>
            <w:webHidden/>
          </w:rPr>
          <w:fldChar w:fldCharType="end"/>
        </w:r>
      </w:hyperlink>
    </w:p>
    <w:p w14:paraId="710ECC5E" w14:textId="70384193" w:rsidR="00C85B83" w:rsidRPr="00D0480D" w:rsidRDefault="00EE3060" w:rsidP="00D0480D">
      <w:pPr>
        <w:pStyle w:val="Spistreci1"/>
        <w:rPr>
          <w:rStyle w:val="Hipercze"/>
          <w:noProof/>
        </w:rPr>
      </w:pPr>
      <w:hyperlink w:anchor="_Toc509489500" w:history="1">
        <w:r w:rsidR="00C85B83" w:rsidRPr="00C85B83">
          <w:rPr>
            <w:rStyle w:val="Hipercze"/>
            <w:noProof/>
          </w:rPr>
          <w:t>7.</w:t>
        </w:r>
        <w:r w:rsidR="00C85B83" w:rsidRPr="00D0480D">
          <w:rPr>
            <w:rStyle w:val="Hipercze"/>
            <w:noProof/>
          </w:rPr>
          <w:tab/>
        </w:r>
        <w:r w:rsidR="00C85B83" w:rsidRPr="00C85B83">
          <w:rPr>
            <w:rStyle w:val="Hipercze"/>
            <w:noProof/>
          </w:rPr>
          <w:t>Odpowiedzialność za realizację Procedury i uprawnienia związane z realizacją Procedury</w:t>
        </w:r>
        <w:r w:rsidR="00C85B83" w:rsidRPr="00D0480D">
          <w:rPr>
            <w:rStyle w:val="Hipercze"/>
            <w:noProof/>
            <w:webHidden/>
          </w:rPr>
          <w:tab/>
        </w:r>
        <w:r w:rsidR="00C85B83" w:rsidRPr="00D0480D">
          <w:rPr>
            <w:rStyle w:val="Hipercze"/>
            <w:noProof/>
            <w:webHidden/>
          </w:rPr>
          <w:fldChar w:fldCharType="begin"/>
        </w:r>
        <w:r w:rsidR="00C85B83" w:rsidRPr="00D0480D">
          <w:rPr>
            <w:rStyle w:val="Hipercze"/>
            <w:noProof/>
            <w:webHidden/>
          </w:rPr>
          <w:instrText xml:space="preserve"> PAGEREF _Toc509489500 \h </w:instrText>
        </w:r>
        <w:r w:rsidR="00C85B83" w:rsidRPr="00D0480D">
          <w:rPr>
            <w:rStyle w:val="Hipercze"/>
            <w:noProof/>
            <w:webHidden/>
          </w:rPr>
        </w:r>
        <w:r w:rsidR="00C85B83" w:rsidRPr="00D0480D">
          <w:rPr>
            <w:rStyle w:val="Hipercze"/>
            <w:noProof/>
            <w:webHidden/>
          </w:rPr>
          <w:fldChar w:fldCharType="separate"/>
        </w:r>
        <w:r w:rsidR="00CE3306">
          <w:rPr>
            <w:rStyle w:val="Hipercze"/>
            <w:noProof/>
            <w:webHidden/>
          </w:rPr>
          <w:t>11</w:t>
        </w:r>
        <w:r w:rsidR="00C85B83" w:rsidRPr="00D0480D">
          <w:rPr>
            <w:rStyle w:val="Hipercze"/>
            <w:noProof/>
            <w:webHidden/>
          </w:rPr>
          <w:fldChar w:fldCharType="end"/>
        </w:r>
      </w:hyperlink>
    </w:p>
    <w:p w14:paraId="5FC331C0" w14:textId="0AE34353" w:rsidR="00C85B83" w:rsidRPr="00D0480D" w:rsidRDefault="00EE3060" w:rsidP="00D0480D">
      <w:pPr>
        <w:pStyle w:val="Spistreci1"/>
        <w:rPr>
          <w:rStyle w:val="Hipercze"/>
          <w:noProof/>
        </w:rPr>
      </w:pPr>
      <w:hyperlink w:anchor="_Toc509489501" w:history="1">
        <w:r w:rsidR="00C85B83" w:rsidRPr="00C85B83">
          <w:rPr>
            <w:rStyle w:val="Hipercze"/>
            <w:noProof/>
          </w:rPr>
          <w:t>8.</w:t>
        </w:r>
        <w:r w:rsidR="00C85B83" w:rsidRPr="00D0480D">
          <w:rPr>
            <w:rStyle w:val="Hipercze"/>
            <w:noProof/>
          </w:rPr>
          <w:tab/>
        </w:r>
        <w:r w:rsidR="00C85B83" w:rsidRPr="00C85B83">
          <w:rPr>
            <w:rStyle w:val="Hipercze"/>
            <w:noProof/>
          </w:rPr>
          <w:t>Aktualizacja procedury</w:t>
        </w:r>
        <w:r w:rsidR="00C85B83" w:rsidRPr="00D0480D">
          <w:rPr>
            <w:rStyle w:val="Hipercze"/>
            <w:noProof/>
            <w:webHidden/>
          </w:rPr>
          <w:tab/>
        </w:r>
        <w:r w:rsidR="00C85B83" w:rsidRPr="00D0480D">
          <w:rPr>
            <w:rStyle w:val="Hipercze"/>
            <w:noProof/>
            <w:webHidden/>
          </w:rPr>
          <w:fldChar w:fldCharType="begin"/>
        </w:r>
        <w:r w:rsidR="00C85B83" w:rsidRPr="00D0480D">
          <w:rPr>
            <w:rStyle w:val="Hipercze"/>
            <w:noProof/>
            <w:webHidden/>
          </w:rPr>
          <w:instrText xml:space="preserve"> PAGEREF _Toc509489501 \h </w:instrText>
        </w:r>
        <w:r w:rsidR="00C85B83" w:rsidRPr="00D0480D">
          <w:rPr>
            <w:rStyle w:val="Hipercze"/>
            <w:noProof/>
            <w:webHidden/>
          </w:rPr>
        </w:r>
        <w:r w:rsidR="00C85B83" w:rsidRPr="00D0480D">
          <w:rPr>
            <w:rStyle w:val="Hipercze"/>
            <w:noProof/>
            <w:webHidden/>
          </w:rPr>
          <w:fldChar w:fldCharType="separate"/>
        </w:r>
        <w:r w:rsidR="00CE3306">
          <w:rPr>
            <w:rStyle w:val="Hipercze"/>
            <w:noProof/>
            <w:webHidden/>
          </w:rPr>
          <w:t>11</w:t>
        </w:r>
        <w:r w:rsidR="00C85B83" w:rsidRPr="00D0480D">
          <w:rPr>
            <w:rStyle w:val="Hipercze"/>
            <w:noProof/>
            <w:webHidden/>
          </w:rPr>
          <w:fldChar w:fldCharType="end"/>
        </w:r>
      </w:hyperlink>
    </w:p>
    <w:p w14:paraId="133ED196" w14:textId="6924A7F5" w:rsidR="003E2369" w:rsidRPr="00D0480D" w:rsidRDefault="00D14099" w:rsidP="00D0480D">
      <w:pPr>
        <w:rPr>
          <w:rStyle w:val="Hipercze"/>
          <w:caps/>
          <w:noProof/>
          <w:szCs w:val="24"/>
        </w:rPr>
      </w:pPr>
      <w:r w:rsidRPr="00D0480D">
        <w:rPr>
          <w:rStyle w:val="Hipercze"/>
          <w:noProof/>
          <w:szCs w:val="24"/>
        </w:rPr>
        <w:fldChar w:fldCharType="end"/>
      </w:r>
      <w:r w:rsidR="002D225C" w:rsidRPr="00D0480D">
        <w:rPr>
          <w:rStyle w:val="Hipercze"/>
          <w:caps/>
          <w:noProof/>
          <w:szCs w:val="24"/>
        </w:rPr>
        <w:t xml:space="preserve"> </w:t>
      </w:r>
    </w:p>
    <w:p w14:paraId="6BFB1A4B" w14:textId="4FBD11FF" w:rsidR="00B83BEF" w:rsidRDefault="00B83BEF" w:rsidP="00B83BEF">
      <w:bookmarkStart w:id="1" w:name="_Ref345068110"/>
      <w:bookmarkStart w:id="2" w:name="_Toc345314757"/>
      <w:bookmarkStart w:id="3" w:name="_Toc360981351"/>
      <w:r>
        <w:br w:type="page"/>
      </w:r>
      <w:r w:rsidR="00394469">
        <w:lastRenderedPageBreak/>
        <w:t xml:space="preserve"> </w:t>
      </w:r>
    </w:p>
    <w:p w14:paraId="177418A8" w14:textId="77777777" w:rsidR="00784AC7" w:rsidRPr="000A3322" w:rsidRDefault="00DE4E0E" w:rsidP="009D0473">
      <w:pPr>
        <w:pStyle w:val="Nagwek1"/>
        <w:numPr>
          <w:ilvl w:val="0"/>
          <w:numId w:val="1"/>
        </w:numPr>
        <w:spacing w:before="0"/>
        <w:rPr>
          <w:szCs w:val="20"/>
        </w:rPr>
      </w:pPr>
      <w:bookmarkStart w:id="4" w:name="_Toc509489492"/>
      <w:r w:rsidRPr="000A3322">
        <w:rPr>
          <w:szCs w:val="20"/>
        </w:rPr>
        <w:t>Ce</w:t>
      </w:r>
      <w:r w:rsidR="00784AC7" w:rsidRPr="000A3322">
        <w:rPr>
          <w:szCs w:val="20"/>
        </w:rPr>
        <w:t>l</w:t>
      </w:r>
      <w:bookmarkEnd w:id="1"/>
      <w:bookmarkEnd w:id="2"/>
      <w:r w:rsidR="00784AC7" w:rsidRPr="000A3322">
        <w:rPr>
          <w:szCs w:val="20"/>
        </w:rPr>
        <w:t xml:space="preserve"> i zakres </w:t>
      </w:r>
      <w:r w:rsidR="001739C8" w:rsidRPr="000A3322">
        <w:rPr>
          <w:szCs w:val="20"/>
        </w:rPr>
        <w:t>Proced</w:t>
      </w:r>
      <w:r w:rsidR="00784AC7" w:rsidRPr="000A3322">
        <w:rPr>
          <w:szCs w:val="20"/>
        </w:rPr>
        <w:t>ury</w:t>
      </w:r>
      <w:bookmarkEnd w:id="3"/>
      <w:bookmarkEnd w:id="4"/>
      <w:r w:rsidR="00784AC7" w:rsidRPr="000A3322">
        <w:rPr>
          <w:szCs w:val="20"/>
        </w:rPr>
        <w:t xml:space="preserve"> </w:t>
      </w:r>
    </w:p>
    <w:p w14:paraId="058CA55F" w14:textId="68945119" w:rsidR="00505E3E" w:rsidRPr="000A3322" w:rsidRDefault="00505E3E" w:rsidP="00A348B4">
      <w:pPr>
        <w:jc w:val="both"/>
        <w:rPr>
          <w:szCs w:val="20"/>
        </w:rPr>
      </w:pPr>
      <w:r w:rsidRPr="000A3322">
        <w:rPr>
          <w:szCs w:val="20"/>
        </w:rPr>
        <w:t>Niniejsza</w:t>
      </w:r>
      <w:r w:rsidR="00644D68" w:rsidRPr="00D26C8F">
        <w:rPr>
          <w:szCs w:val="20"/>
        </w:rPr>
        <w:t xml:space="preserve"> procedura</w:t>
      </w:r>
      <w:r w:rsidRPr="000A3322">
        <w:rPr>
          <w:szCs w:val="20"/>
        </w:rPr>
        <w:t xml:space="preserve"> wynika z następujących aktów prawnych:</w:t>
      </w:r>
    </w:p>
    <w:p w14:paraId="498EA2B9" w14:textId="3840A7AF" w:rsidR="00505E3E" w:rsidRPr="006D4B91" w:rsidRDefault="00505E3E" w:rsidP="00CC048C">
      <w:pPr>
        <w:pStyle w:val="Akapitzlist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6D4B91">
        <w:rPr>
          <w:sz w:val="20"/>
          <w:szCs w:val="20"/>
        </w:rPr>
        <w:t>Ustawy z dnia 16 lutego 2007 r. o zapasach ropy naftowej, produktów naftowych i gazu ziemnego oraz zasadach postępowania w sytuacjach zagrożenia bezpieczeństwa paliwowego państwa i zakłóceń na rynku naftowym (</w:t>
      </w:r>
      <w:proofErr w:type="spellStart"/>
      <w:r w:rsidRPr="006D4B91">
        <w:rPr>
          <w:sz w:val="20"/>
          <w:szCs w:val="20"/>
        </w:rPr>
        <w:t>t.j</w:t>
      </w:r>
      <w:proofErr w:type="spellEnd"/>
      <w:r w:rsidRPr="006D4B91">
        <w:rPr>
          <w:sz w:val="20"/>
          <w:szCs w:val="20"/>
        </w:rPr>
        <w:t>. Dz.U. z 2017 r. poz. 1210</w:t>
      </w:r>
      <w:r w:rsidR="00B83BEF">
        <w:rPr>
          <w:sz w:val="20"/>
          <w:szCs w:val="20"/>
        </w:rPr>
        <w:t>,</w:t>
      </w:r>
      <w:r w:rsidR="00FA71EA">
        <w:rPr>
          <w:sz w:val="20"/>
          <w:szCs w:val="20"/>
        </w:rPr>
        <w:t xml:space="preserve"> z późn.zm.</w:t>
      </w:r>
      <w:r w:rsidRPr="006D4B91">
        <w:rPr>
          <w:sz w:val="20"/>
          <w:szCs w:val="20"/>
        </w:rPr>
        <w:t>)</w:t>
      </w:r>
      <w:r w:rsidR="00656EBF">
        <w:rPr>
          <w:sz w:val="20"/>
          <w:szCs w:val="20"/>
        </w:rPr>
        <w:t xml:space="preserve"> (dalej: Ustawa o zapasach)</w:t>
      </w:r>
      <w:r w:rsidR="00B83BEF">
        <w:rPr>
          <w:sz w:val="20"/>
          <w:szCs w:val="20"/>
        </w:rPr>
        <w:t>;</w:t>
      </w:r>
    </w:p>
    <w:p w14:paraId="2FE6B1F8" w14:textId="6DFC92C0" w:rsidR="00B83BEF" w:rsidRDefault="00B83BEF" w:rsidP="00CC048C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B83BEF">
        <w:rPr>
          <w:sz w:val="20"/>
          <w:szCs w:val="20"/>
        </w:rPr>
        <w:t>Instrukcji Ruchu i Eksploatacji Systemu Przesyłowego</w:t>
      </w:r>
      <w:r w:rsidR="00FB1FB2">
        <w:rPr>
          <w:sz w:val="20"/>
          <w:szCs w:val="20"/>
        </w:rPr>
        <w:t xml:space="preserve"> (dalej: </w:t>
      </w:r>
      <w:proofErr w:type="spellStart"/>
      <w:r w:rsidR="00FB1FB2">
        <w:rPr>
          <w:sz w:val="20"/>
          <w:szCs w:val="20"/>
        </w:rPr>
        <w:t>IRiESP</w:t>
      </w:r>
      <w:proofErr w:type="spellEnd"/>
      <w:r w:rsidR="00FB1FB2">
        <w:rPr>
          <w:sz w:val="20"/>
          <w:szCs w:val="20"/>
        </w:rPr>
        <w:t>)</w:t>
      </w:r>
      <w:r w:rsidR="008529EE">
        <w:rPr>
          <w:sz w:val="20"/>
          <w:szCs w:val="20"/>
        </w:rPr>
        <w:t>;</w:t>
      </w:r>
    </w:p>
    <w:p w14:paraId="1B41148D" w14:textId="0D96BF8C" w:rsidR="00CE3306" w:rsidRPr="00CE3306" w:rsidRDefault="00CE3306" w:rsidP="008529EE">
      <w:pPr>
        <w:spacing w:before="120"/>
        <w:jc w:val="both"/>
        <w:rPr>
          <w:szCs w:val="20"/>
        </w:rPr>
      </w:pPr>
      <w:r w:rsidRPr="00CE3306">
        <w:rPr>
          <w:szCs w:val="20"/>
        </w:rPr>
        <w:t xml:space="preserve">oraz powołuje się na obowiązki </w:t>
      </w:r>
      <w:r w:rsidR="008529EE">
        <w:rPr>
          <w:szCs w:val="20"/>
        </w:rPr>
        <w:t>i mechanizmy</w:t>
      </w:r>
      <w:r w:rsidRPr="00CE3306">
        <w:rPr>
          <w:szCs w:val="20"/>
        </w:rPr>
        <w:t xml:space="preserve"> wnikające z</w:t>
      </w:r>
      <w:r w:rsidR="008529EE">
        <w:rPr>
          <w:szCs w:val="20"/>
        </w:rPr>
        <w:t>:</w:t>
      </w:r>
    </w:p>
    <w:p w14:paraId="7B3FCE63" w14:textId="5F64A4DC" w:rsidR="00B83BEF" w:rsidRPr="008529EE" w:rsidRDefault="00CE3306" w:rsidP="008529EE">
      <w:pPr>
        <w:pStyle w:val="Akapitzlist"/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6D4B91">
        <w:rPr>
          <w:sz w:val="20"/>
          <w:szCs w:val="20"/>
        </w:rPr>
        <w:t>Rozporządzenia Parlamentu Europejskiego i Rady (UE) 2017/1938 z dnia 25 października 2017 r. dotyczącego środków zapewniających bezpieczeństwo dostaw gazu ziemnego</w:t>
      </w:r>
      <w:r w:rsidR="009356BD">
        <w:rPr>
          <w:sz w:val="20"/>
          <w:szCs w:val="20"/>
        </w:rPr>
        <w:br/>
      </w:r>
      <w:r w:rsidRPr="006D4B91">
        <w:rPr>
          <w:sz w:val="20"/>
          <w:szCs w:val="20"/>
        </w:rPr>
        <w:t>i uchylającego rozporządzenie (UE) nr 994/2010</w:t>
      </w:r>
      <w:r>
        <w:rPr>
          <w:sz w:val="20"/>
          <w:szCs w:val="20"/>
        </w:rPr>
        <w:t xml:space="preserve"> (dalej: Rozporządzenie 2017/1938</w:t>
      </w:r>
      <w:r w:rsidR="008529EE">
        <w:rPr>
          <w:sz w:val="20"/>
          <w:szCs w:val="20"/>
        </w:rPr>
        <w:t>).</w:t>
      </w:r>
    </w:p>
    <w:p w14:paraId="5BE2907D" w14:textId="3F38D680" w:rsidR="00784AC7" w:rsidRPr="000A3322" w:rsidRDefault="00784AC7" w:rsidP="00CE3306">
      <w:pPr>
        <w:spacing w:before="120"/>
        <w:jc w:val="both"/>
        <w:rPr>
          <w:szCs w:val="20"/>
        </w:rPr>
      </w:pPr>
      <w:r w:rsidRPr="000A3322">
        <w:rPr>
          <w:szCs w:val="20"/>
        </w:rPr>
        <w:t xml:space="preserve">Celem procedury jest określenie </w:t>
      </w:r>
      <w:r w:rsidR="00532F33" w:rsidRPr="000A3322">
        <w:rPr>
          <w:szCs w:val="20"/>
        </w:rPr>
        <w:t xml:space="preserve">trybu postępowania </w:t>
      </w:r>
      <w:r w:rsidR="008024C0">
        <w:rPr>
          <w:szCs w:val="20"/>
        </w:rPr>
        <w:t xml:space="preserve">przez ZUP lub podmiot zobowiązany </w:t>
      </w:r>
      <w:r w:rsidR="00532F33" w:rsidRPr="000A3322">
        <w:rPr>
          <w:szCs w:val="20"/>
        </w:rPr>
        <w:t>w sytuacji</w:t>
      </w:r>
      <w:r w:rsidR="00EC4F21" w:rsidRPr="000A3322">
        <w:rPr>
          <w:szCs w:val="20"/>
        </w:rPr>
        <w:t xml:space="preserve"> zagrożenia bezpieczeństwa dostaw gazu, w tym</w:t>
      </w:r>
      <w:r w:rsidR="00532F33" w:rsidRPr="000A3322">
        <w:rPr>
          <w:szCs w:val="20"/>
        </w:rPr>
        <w:t>:</w:t>
      </w:r>
    </w:p>
    <w:p w14:paraId="1DCDF2BD" w14:textId="32611A94" w:rsidR="00784AC7" w:rsidRPr="000A3322" w:rsidRDefault="00975D0C" w:rsidP="00CC048C">
      <w:pPr>
        <w:pStyle w:val="Nagwek7"/>
        <w:numPr>
          <w:ilvl w:val="0"/>
          <w:numId w:val="15"/>
        </w:numPr>
        <w:ind w:left="697" w:hanging="357"/>
        <w:jc w:val="both"/>
        <w:rPr>
          <w:szCs w:val="20"/>
        </w:rPr>
      </w:pPr>
      <w:r w:rsidRPr="000A3322">
        <w:rPr>
          <w:szCs w:val="20"/>
        </w:rPr>
        <w:t>w</w:t>
      </w:r>
      <w:r w:rsidR="00784AC7" w:rsidRPr="000A3322">
        <w:rPr>
          <w:szCs w:val="20"/>
        </w:rPr>
        <w:t>ystąpienia zakłóceń w dostarczaniu gazu ziemnego do systemu przesyłowego</w:t>
      </w:r>
      <w:r w:rsidR="00FB1FB2">
        <w:rPr>
          <w:szCs w:val="20"/>
        </w:rPr>
        <w:t>;</w:t>
      </w:r>
    </w:p>
    <w:p w14:paraId="55570234" w14:textId="6D3C67AD" w:rsidR="00975D0C" w:rsidRPr="000A3322" w:rsidRDefault="00975D0C" w:rsidP="00CC048C">
      <w:pPr>
        <w:pStyle w:val="Nagwek7"/>
        <w:numPr>
          <w:ilvl w:val="0"/>
          <w:numId w:val="15"/>
        </w:numPr>
        <w:ind w:left="697" w:hanging="357"/>
        <w:jc w:val="both"/>
        <w:rPr>
          <w:szCs w:val="20"/>
        </w:rPr>
      </w:pPr>
      <w:r w:rsidRPr="000A3322">
        <w:rPr>
          <w:szCs w:val="20"/>
        </w:rPr>
        <w:t>n</w:t>
      </w:r>
      <w:r w:rsidR="001730BB" w:rsidRPr="000A3322">
        <w:rPr>
          <w:szCs w:val="20"/>
        </w:rPr>
        <w:t>ieprzewidzianego</w:t>
      </w:r>
      <w:r w:rsidR="00B435CF" w:rsidRPr="000A3322">
        <w:rPr>
          <w:szCs w:val="20"/>
        </w:rPr>
        <w:t xml:space="preserve"> </w:t>
      </w:r>
      <w:r w:rsidR="00784AC7" w:rsidRPr="000A3322">
        <w:rPr>
          <w:szCs w:val="20"/>
        </w:rPr>
        <w:t>wzrostu zużycia gazu ziemnego przez odbiorców</w:t>
      </w:r>
      <w:r w:rsidR="00FB1FB2">
        <w:rPr>
          <w:szCs w:val="20"/>
        </w:rPr>
        <w:t>;</w:t>
      </w:r>
    </w:p>
    <w:p w14:paraId="622A960B" w14:textId="470C296F" w:rsidR="0086308B" w:rsidRPr="000A3322" w:rsidRDefault="00F548D6" w:rsidP="00CC048C">
      <w:pPr>
        <w:pStyle w:val="Nagwek7"/>
        <w:numPr>
          <w:ilvl w:val="0"/>
          <w:numId w:val="15"/>
        </w:numPr>
        <w:ind w:left="697" w:hanging="357"/>
        <w:jc w:val="both"/>
        <w:rPr>
          <w:szCs w:val="20"/>
        </w:rPr>
      </w:pPr>
      <w:r w:rsidRPr="000A3322">
        <w:rPr>
          <w:szCs w:val="20"/>
        </w:rPr>
        <w:t xml:space="preserve">wystąpienia sytuacji awaryjnej w instalacji </w:t>
      </w:r>
      <w:r w:rsidR="000E2915">
        <w:rPr>
          <w:szCs w:val="20"/>
        </w:rPr>
        <w:t>o</w:t>
      </w:r>
      <w:r w:rsidRPr="000A3322">
        <w:rPr>
          <w:szCs w:val="20"/>
        </w:rPr>
        <w:t>dbiorcy lub dostawcy</w:t>
      </w:r>
      <w:r w:rsidR="00FB1FB2">
        <w:rPr>
          <w:szCs w:val="20"/>
        </w:rPr>
        <w:t>.</w:t>
      </w:r>
      <w:r w:rsidR="00FC18CE" w:rsidRPr="006D4B91">
        <w:rPr>
          <w:szCs w:val="20"/>
        </w:rPr>
        <w:t xml:space="preserve"> </w:t>
      </w:r>
    </w:p>
    <w:p w14:paraId="49405D5A" w14:textId="6E315216" w:rsidR="00202A7B" w:rsidRDefault="000A3322" w:rsidP="00A348B4">
      <w:pPr>
        <w:jc w:val="both"/>
        <w:rPr>
          <w:szCs w:val="20"/>
        </w:rPr>
      </w:pPr>
      <w:r w:rsidRPr="000A3322">
        <w:rPr>
          <w:szCs w:val="20"/>
        </w:rPr>
        <w:t xml:space="preserve">oraz opis działań mających na celu przeciwdziałanie </w:t>
      </w:r>
      <w:r>
        <w:rPr>
          <w:szCs w:val="20"/>
        </w:rPr>
        <w:t>zidentyfikowanemu zagrożeniu</w:t>
      </w:r>
      <w:r w:rsidRPr="000A3322">
        <w:rPr>
          <w:szCs w:val="20"/>
        </w:rPr>
        <w:t>.</w:t>
      </w:r>
    </w:p>
    <w:p w14:paraId="672EC0DB" w14:textId="618C04BD" w:rsidR="00FB1FB2" w:rsidRDefault="00FB1FB2" w:rsidP="00A348B4">
      <w:pPr>
        <w:jc w:val="both"/>
        <w:rPr>
          <w:szCs w:val="20"/>
        </w:rPr>
      </w:pPr>
    </w:p>
    <w:p w14:paraId="184ED336" w14:textId="70F7B022" w:rsidR="00AD5088" w:rsidRDefault="008515EB" w:rsidP="00A348B4">
      <w:pPr>
        <w:jc w:val="both"/>
        <w:rPr>
          <w:szCs w:val="20"/>
        </w:rPr>
      </w:pPr>
      <w:r>
        <w:rPr>
          <w:szCs w:val="20"/>
        </w:rPr>
        <w:t>Zgodnie</w:t>
      </w:r>
      <w:r w:rsidR="00FB1FB2">
        <w:rPr>
          <w:szCs w:val="20"/>
        </w:rPr>
        <w:t xml:space="preserve"> z </w:t>
      </w:r>
      <w:r w:rsidR="00FA61C2">
        <w:rPr>
          <w:szCs w:val="20"/>
        </w:rPr>
        <w:t xml:space="preserve">zapisami w powyżej wymienionych aktach prawnych oraz </w:t>
      </w:r>
      <w:proofErr w:type="spellStart"/>
      <w:r w:rsidR="00FA61C2">
        <w:rPr>
          <w:szCs w:val="20"/>
        </w:rPr>
        <w:t>IRiESP</w:t>
      </w:r>
      <w:proofErr w:type="spellEnd"/>
      <w:r w:rsidR="00FB1FB2">
        <w:rPr>
          <w:color w:val="FF0000"/>
          <w:szCs w:val="20"/>
        </w:rPr>
        <w:t xml:space="preserve"> </w:t>
      </w:r>
      <w:r w:rsidR="00FB1FB2" w:rsidRPr="00FB1FB2">
        <w:rPr>
          <w:szCs w:val="20"/>
        </w:rPr>
        <w:t xml:space="preserve">odpowiednio ZUP lub </w:t>
      </w:r>
      <w:r w:rsidR="00150FA1">
        <w:rPr>
          <w:szCs w:val="20"/>
        </w:rPr>
        <w:t>p</w:t>
      </w:r>
      <w:r w:rsidR="00FB1FB2" w:rsidRPr="00FB1FB2">
        <w:rPr>
          <w:szCs w:val="20"/>
        </w:rPr>
        <w:t xml:space="preserve">odmiot </w:t>
      </w:r>
      <w:r w:rsidR="00150FA1">
        <w:rPr>
          <w:szCs w:val="20"/>
        </w:rPr>
        <w:t>z</w:t>
      </w:r>
      <w:r w:rsidR="00FB1FB2" w:rsidRPr="00FB1FB2">
        <w:rPr>
          <w:szCs w:val="20"/>
        </w:rPr>
        <w:t>obowiązany podejmuj</w:t>
      </w:r>
      <w:r w:rsidR="00FA61C2">
        <w:rPr>
          <w:szCs w:val="20"/>
        </w:rPr>
        <w:t xml:space="preserve">e </w:t>
      </w:r>
      <w:r w:rsidR="00FB1FB2" w:rsidRPr="00FB1FB2">
        <w:rPr>
          <w:szCs w:val="20"/>
        </w:rPr>
        <w:t>działania mające na celu przeciwdziałanie</w:t>
      </w:r>
      <w:r w:rsidR="00FB1FB2">
        <w:rPr>
          <w:szCs w:val="20"/>
        </w:rPr>
        <w:t xml:space="preserve"> zagrożeniom</w:t>
      </w:r>
      <w:r w:rsidRPr="008515EB">
        <w:rPr>
          <w:szCs w:val="20"/>
        </w:rPr>
        <w:t xml:space="preserve"> </w:t>
      </w:r>
      <w:r>
        <w:rPr>
          <w:szCs w:val="20"/>
        </w:rPr>
        <w:t xml:space="preserve">bezpieczeństwa dostaw gazu do odbiorców w opisanych powyżej przypadkach. </w:t>
      </w:r>
      <w:r w:rsidR="00FB1FB2" w:rsidRPr="00FB1FB2">
        <w:rPr>
          <w:szCs w:val="20"/>
        </w:rPr>
        <w:t>Ponadto, ZUP prowadzący działalność gospodarczą w zakresi</w:t>
      </w:r>
      <w:r>
        <w:rPr>
          <w:szCs w:val="20"/>
        </w:rPr>
        <w:t xml:space="preserve">e </w:t>
      </w:r>
      <w:r w:rsidR="00FB1FB2" w:rsidRPr="00FB1FB2">
        <w:rPr>
          <w:szCs w:val="20"/>
        </w:rPr>
        <w:t>obrotu</w:t>
      </w:r>
      <w:r>
        <w:rPr>
          <w:szCs w:val="20"/>
        </w:rPr>
        <w:t xml:space="preserve"> </w:t>
      </w:r>
      <w:r w:rsidR="00FB1FB2" w:rsidRPr="00FB1FB2">
        <w:rPr>
          <w:szCs w:val="20"/>
        </w:rPr>
        <w:t>gazem ziemnym, informują niezwłocznie OSP o możliwości wystąpienia zagrożenia bezpieczeństwa energetycznego na określonym obszarze kraju, zagrożenia bezpieczeństwa osób, zagrożenia wystąpienia znacznych strat materialnych.</w:t>
      </w:r>
    </w:p>
    <w:p w14:paraId="3BDB1ADC" w14:textId="77777777" w:rsidR="00AD5088" w:rsidRPr="00921754" w:rsidRDefault="00AD5088" w:rsidP="00A348B4">
      <w:pPr>
        <w:jc w:val="both"/>
      </w:pPr>
    </w:p>
    <w:p w14:paraId="5163C3DE" w14:textId="56996B91" w:rsidR="00AD5088" w:rsidRPr="004D4839" w:rsidRDefault="00AD5088" w:rsidP="00A348B4">
      <w:pPr>
        <w:jc w:val="both"/>
        <w:rPr>
          <w:color w:val="0070C0"/>
          <w:szCs w:val="20"/>
        </w:rPr>
      </w:pPr>
      <w:r w:rsidRPr="004D4839">
        <w:rPr>
          <w:color w:val="0070C0"/>
        </w:rPr>
        <w:t>Przedsiębiorstwa ograniczające swoją działalność biznesową do transakcji zawieranych na Giełdzie Gazu, Platformie Handlu Gazem i Rynku OTC tj. nie zgłaszają</w:t>
      </w:r>
      <w:r w:rsidR="00FA2194">
        <w:rPr>
          <w:color w:val="0070C0"/>
        </w:rPr>
        <w:t>ce</w:t>
      </w:r>
      <w:r w:rsidRPr="004D4839">
        <w:rPr>
          <w:color w:val="0070C0"/>
        </w:rPr>
        <w:t xml:space="preserve"> do realizacji usługi przesyłania gazu, który będzie fizycznie dostarczany lub odbierany z systemu wypełniają tylko punkt 3 oraz załącznik </w:t>
      </w:r>
      <w:r w:rsidR="00FA61C2" w:rsidRPr="004D4839">
        <w:rPr>
          <w:color w:val="0070C0"/>
        </w:rPr>
        <w:t>3</w:t>
      </w:r>
      <w:r w:rsidRPr="004D4839">
        <w:rPr>
          <w:color w:val="0070C0"/>
        </w:rPr>
        <w:t xml:space="preserve"> (do momentu zmiany charakteru prowadzonej działalności</w:t>
      </w:r>
      <w:r w:rsidR="00FA61C2" w:rsidRPr="004D4839">
        <w:rPr>
          <w:color w:val="0070C0"/>
        </w:rPr>
        <w:t>)</w:t>
      </w:r>
      <w:r w:rsidR="00FA2194">
        <w:rPr>
          <w:color w:val="0070C0"/>
        </w:rPr>
        <w:t>.</w:t>
      </w:r>
    </w:p>
    <w:p w14:paraId="08A1DC72" w14:textId="4E3592CB" w:rsidR="00EE11F2" w:rsidRDefault="00EE11F2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8FFEFC3" w14:textId="5DF2C3DC" w:rsidR="004D4839" w:rsidRPr="00CC048C" w:rsidRDefault="00784AC7" w:rsidP="00CC048C">
      <w:pPr>
        <w:pStyle w:val="Nagwek1"/>
        <w:numPr>
          <w:ilvl w:val="0"/>
          <w:numId w:val="1"/>
        </w:numPr>
        <w:rPr>
          <w:szCs w:val="20"/>
        </w:rPr>
      </w:pPr>
      <w:bookmarkStart w:id="5" w:name="_Ref345066792"/>
      <w:bookmarkStart w:id="6" w:name="_Toc345314759"/>
      <w:bookmarkStart w:id="7" w:name="_Toc360981352"/>
      <w:bookmarkStart w:id="8" w:name="_Toc509489493"/>
      <w:r w:rsidRPr="004F4A00">
        <w:rPr>
          <w:szCs w:val="20"/>
        </w:rPr>
        <w:lastRenderedPageBreak/>
        <w:t>Definicje</w:t>
      </w:r>
      <w:bookmarkEnd w:id="5"/>
      <w:bookmarkEnd w:id="6"/>
      <w:bookmarkEnd w:id="7"/>
      <w:bookmarkEnd w:id="8"/>
    </w:p>
    <w:p w14:paraId="6128EB2D" w14:textId="3D806E57" w:rsidR="004D4839" w:rsidRDefault="004D4839" w:rsidP="00007157">
      <w:pPr>
        <w:jc w:val="both"/>
      </w:pPr>
      <w:r w:rsidRPr="004D4839">
        <w:rPr>
          <w:u w:val="single"/>
        </w:rPr>
        <w:t>Gaz ziemny</w:t>
      </w:r>
      <w:r>
        <w:t xml:space="preserve"> – gaz ziemny w rozumieniu Ustawy o zapasach</w:t>
      </w:r>
      <w:r w:rsidR="00670685">
        <w:t>;</w:t>
      </w:r>
    </w:p>
    <w:p w14:paraId="578E39D1" w14:textId="07DC3B8C" w:rsidR="004D4839" w:rsidRDefault="004D4839" w:rsidP="00B62176">
      <w:pPr>
        <w:jc w:val="both"/>
      </w:pPr>
      <w:r w:rsidRPr="004D4839">
        <w:rPr>
          <w:u w:val="single"/>
        </w:rPr>
        <w:t>ZUP lub podmiot zobowiązany</w:t>
      </w:r>
      <w:r>
        <w:t xml:space="preserve"> – Przedsiębiorstwo energetyczne wykonujące działalność gospodarczą w zakresie obrotu gazem ziemnym z zagranicą lub podmiot dokonujący przywozu gazu ziemneg</w:t>
      </w:r>
      <w:r w:rsidR="00D24A02">
        <w:t>o oraz podmioty zlecająca świadczenie usług przesyłania</w:t>
      </w:r>
      <w:r w:rsidR="00670685">
        <w:t xml:space="preserve"> </w:t>
      </w:r>
      <w:r>
        <w:t>w rozumieniu Ustawy o zapasach</w:t>
      </w:r>
      <w:r w:rsidR="00670685">
        <w:t>;</w:t>
      </w:r>
      <w:r>
        <w:t xml:space="preserve"> </w:t>
      </w:r>
    </w:p>
    <w:p w14:paraId="6B6F069D" w14:textId="2A34B201" w:rsidR="004D1FA3" w:rsidRDefault="004D1FA3" w:rsidP="00007157">
      <w:pPr>
        <w:autoSpaceDE w:val="0"/>
        <w:autoSpaceDN w:val="0"/>
        <w:adjustRightInd w:val="0"/>
        <w:jc w:val="both"/>
      </w:pPr>
      <w:r w:rsidRPr="004D1FA3">
        <w:rPr>
          <w:u w:val="single"/>
        </w:rPr>
        <w:t>Odbiorc</w:t>
      </w:r>
      <w:r>
        <w:rPr>
          <w:u w:val="single"/>
        </w:rPr>
        <w:t>y</w:t>
      </w:r>
      <w:r w:rsidRPr="004D1FA3">
        <w:rPr>
          <w:u w:val="single"/>
        </w:rPr>
        <w:t xml:space="preserve"> chroni</w:t>
      </w:r>
      <w:r>
        <w:rPr>
          <w:u w:val="single"/>
        </w:rPr>
        <w:t>eni</w:t>
      </w:r>
      <w:r w:rsidR="00CC048C">
        <w:rPr>
          <w:rStyle w:val="Odwoanieprzypisudolnego"/>
          <w:u w:val="single"/>
        </w:rPr>
        <w:footnoteReference w:id="1"/>
      </w:r>
      <w:r>
        <w:t xml:space="preserve"> - </w:t>
      </w:r>
    </w:p>
    <w:p w14:paraId="2ABDA0A8" w14:textId="41831CCF" w:rsidR="004D1FA3" w:rsidRPr="004D1FA3" w:rsidRDefault="004D1FA3" w:rsidP="00007157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line="360" w:lineRule="auto"/>
        <w:ind w:left="850" w:hanging="425"/>
        <w:rPr>
          <w:sz w:val="20"/>
          <w:szCs w:val="20"/>
        </w:rPr>
      </w:pPr>
      <w:r w:rsidRPr="004D1FA3">
        <w:rPr>
          <w:sz w:val="20"/>
          <w:szCs w:val="20"/>
        </w:rPr>
        <w:t>gospodarstwa domowe, przyłączone do sieci dystrybucyjnej gazu ziemnego</w:t>
      </w:r>
      <w:r w:rsidR="00670685">
        <w:rPr>
          <w:sz w:val="20"/>
          <w:szCs w:val="20"/>
        </w:rPr>
        <w:t>,</w:t>
      </w:r>
    </w:p>
    <w:p w14:paraId="47C9120A" w14:textId="19C43231" w:rsidR="004D1FA3" w:rsidRPr="004A565A" w:rsidRDefault="004D1FA3" w:rsidP="00B6217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line="360" w:lineRule="auto"/>
        <w:ind w:left="850" w:hanging="425"/>
        <w:rPr>
          <w:sz w:val="20"/>
          <w:szCs w:val="20"/>
        </w:rPr>
      </w:pPr>
      <w:r w:rsidRPr="004A565A">
        <w:rPr>
          <w:sz w:val="20"/>
          <w:szCs w:val="20"/>
        </w:rPr>
        <w:t>przyłączone do sieci dystrybucyjnej gazu ziemnego małe lub średnie przedsiębiorstwa, posiadające zamówioną moc umowną do 710 kWh/h</w:t>
      </w:r>
      <w:r w:rsidR="00670685">
        <w:rPr>
          <w:sz w:val="20"/>
          <w:szCs w:val="20"/>
        </w:rPr>
        <w:t>,</w:t>
      </w:r>
    </w:p>
    <w:p w14:paraId="07C5EEA4" w14:textId="4DBA2DAC" w:rsidR="004D1FA3" w:rsidRPr="004A565A" w:rsidRDefault="004D1FA3" w:rsidP="00B6217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line="360" w:lineRule="auto"/>
        <w:ind w:left="850" w:hanging="425"/>
        <w:rPr>
          <w:sz w:val="20"/>
          <w:szCs w:val="20"/>
        </w:rPr>
      </w:pPr>
      <w:r w:rsidRPr="004A565A">
        <w:rPr>
          <w:sz w:val="20"/>
          <w:szCs w:val="20"/>
        </w:rPr>
        <w:t>przyłączone do sieci dystrybucyjnej lub przesyłowej gazu ziemnego podmioty świadczące podstawowe usługi społeczne</w:t>
      </w:r>
      <w:r w:rsidR="00670685">
        <w:rPr>
          <w:sz w:val="20"/>
          <w:szCs w:val="20"/>
        </w:rPr>
        <w:t>,</w:t>
      </w:r>
    </w:p>
    <w:p w14:paraId="4F60B75C" w14:textId="4550BAF8" w:rsidR="004D1FA3" w:rsidRDefault="004D1FA3" w:rsidP="00B62176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line="360" w:lineRule="auto"/>
        <w:ind w:left="850" w:hanging="425"/>
        <w:rPr>
          <w:sz w:val="20"/>
          <w:szCs w:val="20"/>
        </w:rPr>
      </w:pPr>
      <w:r w:rsidRPr="004A565A">
        <w:rPr>
          <w:sz w:val="20"/>
          <w:szCs w:val="20"/>
        </w:rPr>
        <w:t>instalacje systemów ciepłowniczych dostarczające energię cieplną odbiorcom w gospodarstwach domowych, małym lub średnim przedsiębiorstwom lub podmiotom świadczącym podstawowe usługi społeczne, pod warunkiem, że takiej instalacji nie można przestawić na paliwa inne niż gaz.</w:t>
      </w:r>
    </w:p>
    <w:p w14:paraId="1E2A6BA4" w14:textId="7A76ED2F" w:rsidR="004D4839" w:rsidRDefault="00CC048C" w:rsidP="00007157">
      <w:pPr>
        <w:jc w:val="both"/>
      </w:pPr>
      <w:r w:rsidRPr="004F4A00">
        <w:t xml:space="preserve">W niniejszej </w:t>
      </w:r>
      <w:r>
        <w:t>P</w:t>
      </w:r>
      <w:r w:rsidRPr="004F4A00">
        <w:t xml:space="preserve">rocedurze jak i w związanych z nią instrukcjach powiązanych </w:t>
      </w:r>
      <w:r>
        <w:t>stosowane</w:t>
      </w:r>
      <w:r w:rsidRPr="004F4A00">
        <w:t xml:space="preserve"> definicje </w:t>
      </w:r>
      <w:r>
        <w:t xml:space="preserve">mają znaczenie </w:t>
      </w:r>
      <w:r w:rsidRPr="004F4A00">
        <w:t>zgodne</w:t>
      </w:r>
      <w:r>
        <w:t xml:space="preserve"> z</w:t>
      </w:r>
      <w:r w:rsidRPr="004F4A00">
        <w:t xml:space="preserve"> </w:t>
      </w:r>
      <w:r>
        <w:t xml:space="preserve">definicjami </w:t>
      </w:r>
      <w:r w:rsidRPr="004F4A00">
        <w:t xml:space="preserve">z </w:t>
      </w:r>
      <w:proofErr w:type="spellStart"/>
      <w:r w:rsidRPr="004F4A00">
        <w:t>IRiESP</w:t>
      </w:r>
      <w:proofErr w:type="spellEnd"/>
      <w:r w:rsidRPr="004F4A00">
        <w:t xml:space="preserve">. </w:t>
      </w:r>
    </w:p>
    <w:p w14:paraId="2342057B" w14:textId="5AF51CC1" w:rsidR="00784AC7" w:rsidRPr="004F4A00" w:rsidRDefault="00784AC7" w:rsidP="002312CC">
      <w:pPr>
        <w:pStyle w:val="Nagwek1"/>
        <w:numPr>
          <w:ilvl w:val="0"/>
          <w:numId w:val="1"/>
        </w:numPr>
        <w:rPr>
          <w:szCs w:val="20"/>
        </w:rPr>
      </w:pPr>
      <w:bookmarkStart w:id="9" w:name="_Toc509489494"/>
      <w:bookmarkStart w:id="10" w:name="_Ref345068127"/>
      <w:bookmarkStart w:id="11" w:name="_Toc345314760"/>
      <w:bookmarkStart w:id="12" w:name="_Toc360981353"/>
      <w:r w:rsidRPr="004F4A00">
        <w:rPr>
          <w:szCs w:val="20"/>
        </w:rPr>
        <w:t>Charakterystyka przedsiębiorstwa</w:t>
      </w:r>
      <w:bookmarkEnd w:id="9"/>
      <w:r w:rsidRPr="004F4A00">
        <w:rPr>
          <w:szCs w:val="20"/>
        </w:rPr>
        <w:t xml:space="preserve"> </w:t>
      </w:r>
      <w:bookmarkEnd w:id="10"/>
      <w:bookmarkEnd w:id="11"/>
      <w:bookmarkEnd w:id="12"/>
    </w:p>
    <w:p w14:paraId="58CCDBB0" w14:textId="5C847B6D" w:rsidR="008515EB" w:rsidRPr="00D24A02" w:rsidRDefault="00784AC7" w:rsidP="008515EB">
      <w:pPr>
        <w:jc w:val="both"/>
        <w:rPr>
          <w:color w:val="0070C0"/>
          <w:szCs w:val="20"/>
        </w:rPr>
      </w:pPr>
      <w:r w:rsidRPr="00D24A02">
        <w:rPr>
          <w:color w:val="0070C0"/>
          <w:szCs w:val="20"/>
        </w:rPr>
        <w:t>Należy</w:t>
      </w:r>
      <w:r w:rsidR="00875024" w:rsidRPr="00D24A02">
        <w:rPr>
          <w:color w:val="0070C0"/>
          <w:szCs w:val="20"/>
        </w:rPr>
        <w:t xml:space="preserve"> przedstawić:</w:t>
      </w:r>
      <w:r w:rsidR="00DA1954" w:rsidRPr="00D24A02">
        <w:rPr>
          <w:color w:val="0070C0"/>
          <w:szCs w:val="20"/>
        </w:rPr>
        <w:t xml:space="preserve"> </w:t>
      </w:r>
    </w:p>
    <w:p w14:paraId="7CEDA9BF" w14:textId="1CE6CBA9" w:rsidR="008515EB" w:rsidRPr="00D24A02" w:rsidRDefault="00DA1954" w:rsidP="00CC048C">
      <w:pPr>
        <w:pStyle w:val="Akapitzlist"/>
        <w:numPr>
          <w:ilvl w:val="0"/>
          <w:numId w:val="18"/>
        </w:numPr>
        <w:spacing w:line="360" w:lineRule="auto"/>
        <w:rPr>
          <w:color w:val="0070C0"/>
          <w:sz w:val="20"/>
          <w:szCs w:val="20"/>
        </w:rPr>
      </w:pPr>
      <w:r w:rsidRPr="00D24A02">
        <w:rPr>
          <w:color w:val="0070C0"/>
          <w:sz w:val="20"/>
          <w:szCs w:val="20"/>
        </w:rPr>
        <w:t>r</w:t>
      </w:r>
      <w:r w:rsidR="00784AC7" w:rsidRPr="00D24A02">
        <w:rPr>
          <w:color w:val="0070C0"/>
          <w:sz w:val="20"/>
          <w:szCs w:val="20"/>
        </w:rPr>
        <w:t>odzaj działalności, zasięg i skal</w:t>
      </w:r>
      <w:r w:rsidR="006B3148" w:rsidRPr="00D24A02">
        <w:rPr>
          <w:color w:val="0070C0"/>
          <w:sz w:val="20"/>
          <w:szCs w:val="20"/>
        </w:rPr>
        <w:t>ę</w:t>
      </w:r>
      <w:r w:rsidR="00784AC7" w:rsidRPr="00D24A02">
        <w:rPr>
          <w:color w:val="0070C0"/>
          <w:sz w:val="20"/>
          <w:szCs w:val="20"/>
        </w:rPr>
        <w:t xml:space="preserve"> działalności </w:t>
      </w:r>
      <w:r w:rsidR="003A252A" w:rsidRPr="00D24A02">
        <w:rPr>
          <w:color w:val="0070C0"/>
          <w:sz w:val="20"/>
          <w:szCs w:val="20"/>
        </w:rPr>
        <w:t>–</w:t>
      </w:r>
      <w:r w:rsidR="00784AC7" w:rsidRPr="00D24A02">
        <w:rPr>
          <w:color w:val="0070C0"/>
          <w:sz w:val="20"/>
          <w:szCs w:val="20"/>
        </w:rPr>
        <w:t xml:space="preserve"> </w:t>
      </w:r>
      <w:r w:rsidR="003A252A" w:rsidRPr="00D24A02">
        <w:rPr>
          <w:color w:val="0070C0"/>
          <w:sz w:val="20"/>
          <w:szCs w:val="20"/>
        </w:rPr>
        <w:t xml:space="preserve">obszar </w:t>
      </w:r>
      <w:r w:rsidR="00784AC7" w:rsidRPr="00D24A02">
        <w:rPr>
          <w:color w:val="0070C0"/>
          <w:sz w:val="20"/>
          <w:szCs w:val="20"/>
        </w:rPr>
        <w:t>geograficzny</w:t>
      </w:r>
      <w:r w:rsidR="00FF03F5">
        <w:rPr>
          <w:color w:val="0070C0"/>
          <w:sz w:val="20"/>
          <w:szCs w:val="20"/>
        </w:rPr>
        <w:t>;</w:t>
      </w:r>
      <w:r w:rsidRPr="00D24A02">
        <w:rPr>
          <w:color w:val="0070C0"/>
          <w:sz w:val="20"/>
          <w:szCs w:val="20"/>
        </w:rPr>
        <w:t xml:space="preserve"> </w:t>
      </w:r>
    </w:p>
    <w:p w14:paraId="0E6E4F40" w14:textId="2BCDB5F2" w:rsidR="00875024" w:rsidRPr="00D24A02" w:rsidRDefault="00816E39" w:rsidP="00CC048C">
      <w:pPr>
        <w:pStyle w:val="Akapitzlist"/>
        <w:numPr>
          <w:ilvl w:val="0"/>
          <w:numId w:val="18"/>
        </w:numPr>
        <w:spacing w:line="360" w:lineRule="auto"/>
        <w:rPr>
          <w:color w:val="0070C0"/>
          <w:sz w:val="20"/>
          <w:szCs w:val="20"/>
        </w:rPr>
      </w:pPr>
      <w:r w:rsidRPr="00D24A02">
        <w:rPr>
          <w:color w:val="0070C0"/>
          <w:sz w:val="20"/>
          <w:szCs w:val="20"/>
        </w:rPr>
        <w:t xml:space="preserve">opis funkcjonowania </w:t>
      </w:r>
      <w:r w:rsidR="00784AC7" w:rsidRPr="00D24A02">
        <w:rPr>
          <w:color w:val="0070C0"/>
          <w:sz w:val="20"/>
          <w:szCs w:val="20"/>
        </w:rPr>
        <w:t xml:space="preserve">przedsiębiorstwa w </w:t>
      </w:r>
      <w:r w:rsidR="00875024" w:rsidRPr="00D24A02">
        <w:rPr>
          <w:color w:val="0070C0"/>
          <w:sz w:val="20"/>
          <w:szCs w:val="20"/>
        </w:rPr>
        <w:t>obszarze dotyczącym</w:t>
      </w:r>
      <w:r w:rsidR="00784AC7" w:rsidRPr="00D24A02">
        <w:rPr>
          <w:color w:val="0070C0"/>
          <w:sz w:val="20"/>
          <w:szCs w:val="20"/>
        </w:rPr>
        <w:t xml:space="preserve"> działalności związanej z obrotem w warunkach bez zakłóceń (</w:t>
      </w:r>
      <w:r w:rsidR="00B435CF" w:rsidRPr="00D24A02">
        <w:rPr>
          <w:color w:val="0070C0"/>
          <w:sz w:val="20"/>
          <w:szCs w:val="20"/>
        </w:rPr>
        <w:t>m.in.</w:t>
      </w:r>
      <w:r w:rsidR="00784AC7" w:rsidRPr="00D24A02">
        <w:rPr>
          <w:color w:val="0070C0"/>
          <w:sz w:val="20"/>
          <w:szCs w:val="20"/>
        </w:rPr>
        <w:t xml:space="preserve"> wskazanie</w:t>
      </w:r>
      <w:r w:rsidR="00B435CF" w:rsidRPr="00D24A02">
        <w:rPr>
          <w:color w:val="0070C0"/>
          <w:sz w:val="20"/>
          <w:szCs w:val="20"/>
        </w:rPr>
        <w:t>:</w:t>
      </w:r>
      <w:r w:rsidR="00784AC7" w:rsidRPr="00D24A02">
        <w:rPr>
          <w:color w:val="0070C0"/>
          <w:sz w:val="20"/>
          <w:szCs w:val="20"/>
        </w:rPr>
        <w:t xml:space="preserve"> kierunków </w:t>
      </w:r>
      <w:r w:rsidR="00875024" w:rsidRPr="00D24A02">
        <w:rPr>
          <w:color w:val="0070C0"/>
          <w:sz w:val="20"/>
          <w:szCs w:val="20"/>
        </w:rPr>
        <w:t>dostaw, możliwości</w:t>
      </w:r>
      <w:r w:rsidR="00784AC7" w:rsidRPr="00D24A02">
        <w:rPr>
          <w:color w:val="0070C0"/>
          <w:sz w:val="20"/>
          <w:szCs w:val="20"/>
        </w:rPr>
        <w:t xml:space="preserve"> magazynowania</w:t>
      </w:r>
      <w:r w:rsidR="00875024" w:rsidRPr="00D24A02">
        <w:rPr>
          <w:color w:val="0070C0"/>
          <w:sz w:val="20"/>
          <w:szCs w:val="20"/>
        </w:rPr>
        <w:t>)</w:t>
      </w:r>
      <w:r w:rsidR="00FF03F5">
        <w:rPr>
          <w:color w:val="0070C0"/>
          <w:sz w:val="20"/>
          <w:szCs w:val="20"/>
        </w:rPr>
        <w:t>;</w:t>
      </w:r>
    </w:p>
    <w:p w14:paraId="52F800C4" w14:textId="69D28D21" w:rsidR="008515EB" w:rsidRPr="00D24A02" w:rsidRDefault="00875024" w:rsidP="00CC048C">
      <w:pPr>
        <w:pStyle w:val="Akapitzlist"/>
        <w:numPr>
          <w:ilvl w:val="0"/>
          <w:numId w:val="18"/>
        </w:numPr>
        <w:spacing w:line="360" w:lineRule="auto"/>
        <w:rPr>
          <w:color w:val="0070C0"/>
          <w:sz w:val="20"/>
          <w:szCs w:val="20"/>
        </w:rPr>
      </w:pPr>
      <w:r w:rsidRPr="00D24A02">
        <w:rPr>
          <w:color w:val="0070C0"/>
          <w:sz w:val="20"/>
          <w:szCs w:val="20"/>
        </w:rPr>
        <w:t>s</w:t>
      </w:r>
      <w:r w:rsidR="00784AC7" w:rsidRPr="00D24A02">
        <w:rPr>
          <w:color w:val="0070C0"/>
          <w:sz w:val="20"/>
          <w:szCs w:val="20"/>
        </w:rPr>
        <w:t>truktur</w:t>
      </w:r>
      <w:r w:rsidRPr="00D24A02">
        <w:rPr>
          <w:color w:val="0070C0"/>
          <w:sz w:val="20"/>
          <w:szCs w:val="20"/>
        </w:rPr>
        <w:t>ę</w:t>
      </w:r>
      <w:r w:rsidR="00784AC7" w:rsidRPr="00D24A02">
        <w:rPr>
          <w:color w:val="0070C0"/>
          <w:sz w:val="20"/>
          <w:szCs w:val="20"/>
        </w:rPr>
        <w:t xml:space="preserve"> odbiorów: odbiorcy komunalni, przemysł, </w:t>
      </w:r>
      <w:r w:rsidR="00784AC7" w:rsidRPr="00D24A02">
        <w:rPr>
          <w:b/>
          <w:color w:val="0070C0"/>
          <w:sz w:val="20"/>
          <w:szCs w:val="20"/>
        </w:rPr>
        <w:t>w szczególności należy uwzględnić oraz podać potrzeby odbiorców chronionych</w:t>
      </w:r>
      <w:r w:rsidR="00FF03F5">
        <w:rPr>
          <w:color w:val="0070C0"/>
          <w:sz w:val="20"/>
          <w:szCs w:val="20"/>
        </w:rPr>
        <w:t>;</w:t>
      </w:r>
      <w:r w:rsidR="008515EB" w:rsidRPr="00D24A02">
        <w:rPr>
          <w:color w:val="0070C0"/>
          <w:sz w:val="20"/>
          <w:szCs w:val="20"/>
        </w:rPr>
        <w:t xml:space="preserve"> </w:t>
      </w:r>
    </w:p>
    <w:p w14:paraId="5CCA3BB7" w14:textId="1B90FA45" w:rsidR="00E13637" w:rsidRPr="00D24A02" w:rsidRDefault="008515EB" w:rsidP="00CC048C">
      <w:pPr>
        <w:pStyle w:val="Akapitzlist"/>
        <w:numPr>
          <w:ilvl w:val="0"/>
          <w:numId w:val="18"/>
        </w:numPr>
        <w:spacing w:line="360" w:lineRule="auto"/>
        <w:rPr>
          <w:color w:val="0070C0"/>
          <w:sz w:val="20"/>
          <w:szCs w:val="20"/>
        </w:rPr>
      </w:pPr>
      <w:r w:rsidRPr="00D24A02">
        <w:rPr>
          <w:color w:val="0070C0"/>
          <w:sz w:val="20"/>
          <w:szCs w:val="20"/>
        </w:rPr>
        <w:t xml:space="preserve">opis funkcjonowania przedsiębiorstwa w </w:t>
      </w:r>
      <w:r w:rsidR="00875024" w:rsidRPr="00D24A02">
        <w:rPr>
          <w:color w:val="0070C0"/>
          <w:sz w:val="20"/>
          <w:szCs w:val="20"/>
        </w:rPr>
        <w:t>obszarze dotyczącym</w:t>
      </w:r>
      <w:r w:rsidRPr="00D24A02">
        <w:rPr>
          <w:color w:val="0070C0"/>
          <w:sz w:val="20"/>
          <w:szCs w:val="20"/>
        </w:rPr>
        <w:t xml:space="preserve"> działalności związanej z obrotem w </w:t>
      </w:r>
      <w:r w:rsidR="00784AC7" w:rsidRPr="00D24A02">
        <w:rPr>
          <w:color w:val="0070C0"/>
          <w:sz w:val="20"/>
          <w:szCs w:val="20"/>
        </w:rPr>
        <w:t>warunkach wystąpienia sytuacji kryzysowej (pobór gazu ziemnego w każdym stopniu zasilania oraz czas niezbędny do wygaszenia produkcji w przypadku braku możliwości dostarczania gazu ziemnego</w:t>
      </w:r>
      <w:r w:rsidRPr="00D24A02">
        <w:rPr>
          <w:color w:val="0070C0"/>
          <w:sz w:val="20"/>
          <w:szCs w:val="20"/>
        </w:rPr>
        <w:t>).</w:t>
      </w:r>
    </w:p>
    <w:p w14:paraId="48DB2E6D" w14:textId="7EA65836" w:rsidR="00875024" w:rsidRPr="00D24A02" w:rsidRDefault="00E13637" w:rsidP="00E13637">
      <w:pPr>
        <w:spacing w:line="240" w:lineRule="auto"/>
        <w:rPr>
          <w:color w:val="0070C0"/>
          <w:szCs w:val="20"/>
        </w:rPr>
      </w:pPr>
      <w:r w:rsidRPr="00D24A02">
        <w:rPr>
          <w:color w:val="0070C0"/>
          <w:szCs w:val="20"/>
        </w:rPr>
        <w:br w:type="page"/>
      </w:r>
    </w:p>
    <w:p w14:paraId="3FEFDC02" w14:textId="2077A7E8" w:rsidR="00784AC7" w:rsidRPr="00875024" w:rsidRDefault="00875024" w:rsidP="00875024">
      <w:pPr>
        <w:pStyle w:val="Nagwek2"/>
        <w:numPr>
          <w:ilvl w:val="0"/>
          <w:numId w:val="1"/>
        </w:numPr>
        <w:rPr>
          <w:b/>
          <w:szCs w:val="20"/>
        </w:rPr>
      </w:pPr>
      <w:bookmarkStart w:id="13" w:name="_Toc345314764"/>
      <w:bookmarkStart w:id="14" w:name="_Toc360981357"/>
      <w:bookmarkStart w:id="15" w:name="_Toc509489495"/>
      <w:r>
        <w:rPr>
          <w:b/>
          <w:szCs w:val="20"/>
        </w:rPr>
        <w:lastRenderedPageBreak/>
        <w:t>Działania mające na celu</w:t>
      </w:r>
      <w:r w:rsidR="00784AC7" w:rsidRPr="00875024">
        <w:rPr>
          <w:b/>
          <w:szCs w:val="20"/>
        </w:rPr>
        <w:t xml:space="preserve"> zabezpieczenia dostaw gazu dla odbiorców chronionych</w:t>
      </w:r>
      <w:bookmarkEnd w:id="13"/>
      <w:bookmarkEnd w:id="14"/>
      <w:bookmarkEnd w:id="15"/>
    </w:p>
    <w:p w14:paraId="2FA54E5E" w14:textId="3EC49CA1" w:rsidR="0040366C" w:rsidRPr="00D24A02" w:rsidRDefault="00784AC7" w:rsidP="00E13637">
      <w:pPr>
        <w:jc w:val="both"/>
        <w:rPr>
          <w:color w:val="0070C0"/>
          <w:szCs w:val="20"/>
        </w:rPr>
      </w:pPr>
      <w:r w:rsidRPr="00D24A02">
        <w:rPr>
          <w:color w:val="0070C0"/>
          <w:szCs w:val="20"/>
        </w:rPr>
        <w:t>Należy przedstawić ilościową prognozę zabezpieczenia dostaw gazu dla odbiorców chronionych</w:t>
      </w:r>
      <w:r w:rsidR="00875024" w:rsidRPr="00D24A02">
        <w:rPr>
          <w:color w:val="0070C0"/>
          <w:szCs w:val="20"/>
        </w:rPr>
        <w:t xml:space="preserve"> </w:t>
      </w:r>
      <w:r w:rsidRPr="00D24A02">
        <w:rPr>
          <w:color w:val="0070C0"/>
          <w:szCs w:val="20"/>
        </w:rPr>
        <w:t>dla zidentyfikowanych zagrożeń z uwzględnieniem dostępnych środków rynkowych</w:t>
      </w:r>
      <w:r w:rsidR="00387B2B" w:rsidRPr="00D24A02">
        <w:rPr>
          <w:color w:val="0070C0"/>
          <w:szCs w:val="20"/>
        </w:rPr>
        <w:t xml:space="preserve"> </w:t>
      </w:r>
      <w:r w:rsidRPr="00D24A02">
        <w:rPr>
          <w:color w:val="0070C0"/>
          <w:szCs w:val="20"/>
        </w:rPr>
        <w:t>oraz nierynkowych</w:t>
      </w:r>
      <w:r w:rsidR="006030FE" w:rsidRPr="00D24A02">
        <w:rPr>
          <w:color w:val="0070C0"/>
          <w:szCs w:val="20"/>
          <w:vertAlign w:val="superscript"/>
        </w:rPr>
        <w:footnoteReference w:id="2"/>
      </w:r>
      <w:r w:rsidR="0040366C" w:rsidRPr="00B62176">
        <w:rPr>
          <w:color w:val="0070C0"/>
          <w:szCs w:val="20"/>
        </w:rPr>
        <w:t>.</w:t>
      </w:r>
      <w:r w:rsidR="00E13637" w:rsidRPr="00B62176">
        <w:rPr>
          <w:color w:val="0070C0"/>
          <w:szCs w:val="20"/>
        </w:rPr>
        <w:t xml:space="preserve"> </w:t>
      </w:r>
      <w:r w:rsidR="00E13637" w:rsidRPr="00D24A02">
        <w:rPr>
          <w:color w:val="0070C0"/>
        </w:rPr>
        <w:t>Przedsiębiorstwa gazowe są zobowiązane do podjęcia środków w celu zapewniania dostaw gazu odbiorcom chronionym w każdym z następujących przypadków:</w:t>
      </w:r>
    </w:p>
    <w:p w14:paraId="1A074EA1" w14:textId="77777777" w:rsidR="0040366C" w:rsidRPr="00D24A02" w:rsidRDefault="0040366C" w:rsidP="00CC048C">
      <w:pPr>
        <w:pStyle w:val="bezodstpw"/>
        <w:numPr>
          <w:ilvl w:val="0"/>
          <w:numId w:val="21"/>
        </w:numPr>
        <w:spacing w:line="360" w:lineRule="auto"/>
        <w:ind w:left="709" w:hanging="425"/>
        <w:jc w:val="both"/>
        <w:rPr>
          <w:color w:val="0070C0"/>
        </w:rPr>
      </w:pPr>
      <w:r w:rsidRPr="00D24A02">
        <w:rPr>
          <w:color w:val="0070C0"/>
        </w:rPr>
        <w:t>ekstremalne temperatury w 7-dniowym okresie szczytowego zapotrzebowania na gaz (prawdopodobieństwo raz na 20 lat- tj. ilość gazu jaka musi być dostarczona do odbiorców chronionych w ciągu 7 dni, w czasie wystąpienia ekstremalnie niskich temperatur otoczenia;</w:t>
      </w:r>
    </w:p>
    <w:p w14:paraId="25602AA4" w14:textId="77777777" w:rsidR="0040366C" w:rsidRPr="00D24A02" w:rsidRDefault="0040366C" w:rsidP="00CC048C">
      <w:pPr>
        <w:pStyle w:val="bezodstpw"/>
        <w:numPr>
          <w:ilvl w:val="0"/>
          <w:numId w:val="21"/>
        </w:numPr>
        <w:spacing w:line="360" w:lineRule="auto"/>
        <w:ind w:left="709" w:hanging="425"/>
        <w:jc w:val="both"/>
        <w:rPr>
          <w:color w:val="0070C0"/>
        </w:rPr>
      </w:pPr>
      <w:r w:rsidRPr="00D24A02">
        <w:rPr>
          <w:color w:val="0070C0"/>
        </w:rPr>
        <w:t>okres 30 dni nadzwyczajnie wysokiego zapotrzebowania na gaz (prawdopodobieństwo raz na 20 lat) - tj. ilość gazu jaka musi być dostarczona do odbiorców chronionych w ciągu 30 dni ekstremalnie wysokiego zapotrzebowania na gaz;</w:t>
      </w:r>
    </w:p>
    <w:p w14:paraId="7550993C" w14:textId="77777777" w:rsidR="0040366C" w:rsidRPr="00D24A02" w:rsidRDefault="0040366C" w:rsidP="00CC048C">
      <w:pPr>
        <w:pStyle w:val="bezodstpw"/>
        <w:numPr>
          <w:ilvl w:val="0"/>
          <w:numId w:val="21"/>
        </w:numPr>
        <w:spacing w:line="360" w:lineRule="auto"/>
        <w:ind w:left="709" w:hanging="425"/>
        <w:jc w:val="both"/>
        <w:rPr>
          <w:color w:val="0070C0"/>
        </w:rPr>
      </w:pPr>
      <w:r w:rsidRPr="00D24A02">
        <w:rPr>
          <w:color w:val="0070C0"/>
        </w:rPr>
        <w:t>wystąpienie zakłócenia funkcjonowania największej pojedynczej infrastruktury gazowej w przeciętnych warunkach w okresie zimowym - na okres 30 dni - tj. ilość gazu jaka musi być dostarczona do odbiorców chronionych w ciągu 30 dni w warunkach przeciętnej zimy.</w:t>
      </w:r>
    </w:p>
    <w:p w14:paraId="41815785" w14:textId="77777777" w:rsidR="0040366C" w:rsidRPr="00656EBF" w:rsidRDefault="0040366C" w:rsidP="0040366C">
      <w:pPr>
        <w:pStyle w:val="bezodstpw"/>
        <w:numPr>
          <w:ilvl w:val="0"/>
          <w:numId w:val="0"/>
        </w:numPr>
        <w:spacing w:line="360" w:lineRule="auto"/>
        <w:jc w:val="both"/>
        <w:rPr>
          <w:szCs w:val="22"/>
        </w:rPr>
      </w:pPr>
    </w:p>
    <w:p w14:paraId="55A16678" w14:textId="63DDF6AE" w:rsidR="00E13637" w:rsidRDefault="00E13637" w:rsidP="00E13637">
      <w:pPr>
        <w:pStyle w:val="bezodstpw"/>
        <w:numPr>
          <w:ilvl w:val="0"/>
          <w:numId w:val="0"/>
        </w:numPr>
        <w:spacing w:line="360" w:lineRule="auto"/>
        <w:jc w:val="both"/>
        <w:rPr>
          <w:szCs w:val="22"/>
        </w:rPr>
      </w:pPr>
      <w:r w:rsidRPr="00656EBF">
        <w:rPr>
          <w:szCs w:val="22"/>
        </w:rPr>
        <w:t>Ilości minimalne, które muszą być dostarczone do odbiorców chronionych w przypadkach określonych w art. 6</w:t>
      </w:r>
      <w:r>
        <w:rPr>
          <w:szCs w:val="22"/>
        </w:rPr>
        <w:t xml:space="preserve"> </w:t>
      </w:r>
      <w:r w:rsidRPr="00656EBF">
        <w:rPr>
          <w:szCs w:val="22"/>
        </w:rPr>
        <w:t xml:space="preserve">ust 1 Rozporządzenia Parlamentu Europejskiego i Rady UE </w:t>
      </w:r>
      <w:r w:rsidR="00D24A02" w:rsidRPr="00656EBF">
        <w:rPr>
          <w:szCs w:val="22"/>
        </w:rPr>
        <w:t>Nr 2017</w:t>
      </w:r>
      <w:r w:rsidRPr="00656EBF">
        <w:rPr>
          <w:szCs w:val="22"/>
        </w:rPr>
        <w:t xml:space="preserve">/1938 z dnia 25 października 2017 r. w sprawie środków zapewniających bezpieczeństwo dostaw gazu ziemnego </w:t>
      </w:r>
      <w:r w:rsidR="00D24A02" w:rsidRPr="00656EBF">
        <w:rPr>
          <w:szCs w:val="22"/>
        </w:rPr>
        <w:t xml:space="preserve">i </w:t>
      </w:r>
      <w:r w:rsidR="00670685">
        <w:rPr>
          <w:szCs w:val="22"/>
        </w:rPr>
        <w:t>u</w:t>
      </w:r>
      <w:r w:rsidR="00D24A02" w:rsidRPr="00656EBF">
        <w:rPr>
          <w:szCs w:val="22"/>
        </w:rPr>
        <w:t>chylające</w:t>
      </w:r>
      <w:r w:rsidR="00670685">
        <w:rPr>
          <w:szCs w:val="22"/>
        </w:rPr>
        <w:t>go</w:t>
      </w:r>
      <w:r w:rsidRPr="00656EBF">
        <w:rPr>
          <w:szCs w:val="22"/>
        </w:rPr>
        <w:t xml:space="preserve"> rozporządzenie (UE) nr 994/2010</w:t>
      </w:r>
      <w:r>
        <w:rPr>
          <w:szCs w:val="22"/>
        </w:rPr>
        <w:t xml:space="preserve"> zawarte są w załączniku nr 1 do Procedury.</w:t>
      </w:r>
    </w:p>
    <w:p w14:paraId="1225953F" w14:textId="77777777" w:rsidR="00875024" w:rsidRDefault="00875024" w:rsidP="0040366C">
      <w:pPr>
        <w:spacing w:line="240" w:lineRule="auto"/>
        <w:jc w:val="both"/>
      </w:pPr>
      <w:r>
        <w:br w:type="page"/>
      </w:r>
    </w:p>
    <w:p w14:paraId="1DB32C86" w14:textId="6A2CF8E5" w:rsidR="00693081" w:rsidRPr="0023426A" w:rsidRDefault="00784AC7" w:rsidP="00E33C43">
      <w:pPr>
        <w:pStyle w:val="Nagwek1"/>
        <w:numPr>
          <w:ilvl w:val="0"/>
          <w:numId w:val="1"/>
        </w:numPr>
        <w:jc w:val="both"/>
        <w:rPr>
          <w:szCs w:val="20"/>
        </w:rPr>
      </w:pPr>
      <w:bookmarkStart w:id="16" w:name="_Ref345068146"/>
      <w:bookmarkStart w:id="17" w:name="_Toc345314766"/>
      <w:bookmarkStart w:id="18" w:name="_Toc360981359"/>
      <w:bookmarkStart w:id="19" w:name="_Toc509489496"/>
      <w:r w:rsidRPr="0023426A">
        <w:rPr>
          <w:szCs w:val="20"/>
        </w:rPr>
        <w:lastRenderedPageBreak/>
        <w:t xml:space="preserve">Opis postępowania - planowane działania </w:t>
      </w:r>
      <w:r w:rsidR="00875024">
        <w:rPr>
          <w:szCs w:val="20"/>
        </w:rPr>
        <w:t xml:space="preserve">w sytuacji zagrożenia bezpieczeństwa dostaw gazu ziemnego </w:t>
      </w:r>
      <w:r w:rsidRPr="0023426A">
        <w:rPr>
          <w:szCs w:val="20"/>
        </w:rPr>
        <w:t xml:space="preserve">oraz innych </w:t>
      </w:r>
      <w:r w:rsidR="006C4269">
        <w:rPr>
          <w:szCs w:val="20"/>
        </w:rPr>
        <w:t>zdarzeń</w:t>
      </w:r>
      <w:r w:rsidRPr="0023426A">
        <w:rPr>
          <w:szCs w:val="20"/>
        </w:rPr>
        <w:t xml:space="preserve"> nieprzewidzianych </w:t>
      </w:r>
      <w:r w:rsidR="001739C8" w:rsidRPr="0023426A">
        <w:rPr>
          <w:szCs w:val="20"/>
        </w:rPr>
        <w:t>Proced</w:t>
      </w:r>
      <w:r w:rsidRPr="0023426A">
        <w:rPr>
          <w:szCs w:val="20"/>
        </w:rPr>
        <w:t>urą</w:t>
      </w:r>
      <w:r w:rsidR="001739C8" w:rsidRPr="0023426A">
        <w:rPr>
          <w:szCs w:val="20"/>
        </w:rPr>
        <w:t>,</w:t>
      </w:r>
      <w:r w:rsidRPr="0023426A">
        <w:rPr>
          <w:szCs w:val="20"/>
        </w:rPr>
        <w:t xml:space="preserve"> a mogących mieć wpływ na bezpieczeństwo dostaw gazu do odbiorców.</w:t>
      </w:r>
      <w:bookmarkEnd w:id="16"/>
      <w:bookmarkEnd w:id="17"/>
      <w:bookmarkEnd w:id="18"/>
      <w:bookmarkEnd w:id="19"/>
    </w:p>
    <w:p w14:paraId="190998CB" w14:textId="2EAE90B8" w:rsidR="00480568" w:rsidRPr="00D24A02" w:rsidRDefault="00784AC7" w:rsidP="006C4269">
      <w:pPr>
        <w:pStyle w:val="Bezodstpw0"/>
        <w:spacing w:line="360" w:lineRule="auto"/>
        <w:jc w:val="both"/>
        <w:rPr>
          <w:b w:val="0"/>
          <w:color w:val="0070C0"/>
          <w:szCs w:val="20"/>
        </w:rPr>
      </w:pPr>
      <w:r w:rsidRPr="00D24A02">
        <w:rPr>
          <w:b w:val="0"/>
          <w:color w:val="0070C0"/>
          <w:szCs w:val="20"/>
        </w:rPr>
        <w:t>Należy opisać działania</w:t>
      </w:r>
      <w:r w:rsidR="006C4269" w:rsidRPr="00D24A02">
        <w:rPr>
          <w:b w:val="0"/>
          <w:color w:val="0070C0"/>
          <w:szCs w:val="20"/>
        </w:rPr>
        <w:t xml:space="preserve"> (dostępne środki rynkowe oraz nierynkowe)</w:t>
      </w:r>
      <w:r w:rsidRPr="00D24A02">
        <w:rPr>
          <w:b w:val="0"/>
          <w:color w:val="0070C0"/>
          <w:szCs w:val="20"/>
        </w:rPr>
        <w:t xml:space="preserve"> mające na celu przeciwdziałanie zagrożeniom i ich skutkom, z uwzględnieniem stopnia zagrożenia i stanów kryzysowych opisanych w art. </w:t>
      </w:r>
      <w:r w:rsidR="00CC56F1" w:rsidRPr="00D24A02">
        <w:rPr>
          <w:b w:val="0"/>
          <w:color w:val="0070C0"/>
          <w:szCs w:val="20"/>
        </w:rPr>
        <w:t>11</w:t>
      </w:r>
      <w:r w:rsidR="00A348B4" w:rsidRPr="00D24A02">
        <w:rPr>
          <w:b w:val="0"/>
          <w:color w:val="0070C0"/>
          <w:szCs w:val="20"/>
        </w:rPr>
        <w:t xml:space="preserve"> </w:t>
      </w:r>
      <w:r w:rsidRPr="00D24A02">
        <w:rPr>
          <w:b w:val="0"/>
          <w:color w:val="0070C0"/>
          <w:szCs w:val="20"/>
        </w:rPr>
        <w:t>ust</w:t>
      </w:r>
      <w:r w:rsidR="004857D6" w:rsidRPr="00D24A02">
        <w:rPr>
          <w:b w:val="0"/>
          <w:color w:val="0070C0"/>
          <w:szCs w:val="20"/>
        </w:rPr>
        <w:t>.</w:t>
      </w:r>
      <w:r w:rsidRPr="00D24A02">
        <w:rPr>
          <w:b w:val="0"/>
          <w:color w:val="0070C0"/>
          <w:szCs w:val="20"/>
        </w:rPr>
        <w:t xml:space="preserve"> </w:t>
      </w:r>
      <w:r w:rsidR="00CC56F1" w:rsidRPr="00D24A02">
        <w:rPr>
          <w:b w:val="0"/>
          <w:color w:val="0070C0"/>
          <w:szCs w:val="20"/>
        </w:rPr>
        <w:t xml:space="preserve">1 </w:t>
      </w:r>
      <w:r w:rsidR="00812903" w:rsidRPr="00D24A02">
        <w:rPr>
          <w:b w:val="0"/>
          <w:color w:val="0070C0"/>
          <w:szCs w:val="20"/>
        </w:rPr>
        <w:t xml:space="preserve">Rozporządzenia </w:t>
      </w:r>
      <w:r w:rsidR="00CC56F1" w:rsidRPr="00D24A02">
        <w:rPr>
          <w:b w:val="0"/>
          <w:color w:val="0070C0"/>
          <w:szCs w:val="20"/>
        </w:rPr>
        <w:t>2017/1938</w:t>
      </w:r>
      <w:r w:rsidRPr="00D24A02">
        <w:rPr>
          <w:b w:val="0"/>
          <w:color w:val="0070C0"/>
          <w:szCs w:val="20"/>
        </w:rPr>
        <w:t>.</w:t>
      </w:r>
      <w:r w:rsidR="006C4269" w:rsidRPr="00D24A02">
        <w:rPr>
          <w:b w:val="0"/>
          <w:color w:val="0070C0"/>
          <w:szCs w:val="20"/>
        </w:rPr>
        <w:t xml:space="preserve"> </w:t>
      </w:r>
      <w:r w:rsidR="001B3692" w:rsidRPr="00D24A02">
        <w:rPr>
          <w:b w:val="0"/>
          <w:color w:val="0070C0"/>
          <w:szCs w:val="20"/>
        </w:rPr>
        <w:t xml:space="preserve">Kolejność stosowania środków rynkowych i nierynkowych </w:t>
      </w:r>
      <w:r w:rsidR="00480568" w:rsidRPr="00D24A02">
        <w:rPr>
          <w:b w:val="0"/>
          <w:color w:val="0070C0"/>
          <w:szCs w:val="20"/>
        </w:rPr>
        <w:t xml:space="preserve">zgodnie z Rozporządzeniem </w:t>
      </w:r>
      <w:r w:rsidR="00315183" w:rsidRPr="00D24A02">
        <w:rPr>
          <w:b w:val="0"/>
          <w:color w:val="0070C0"/>
          <w:szCs w:val="20"/>
        </w:rPr>
        <w:t xml:space="preserve">2017/1938 </w:t>
      </w:r>
      <w:r w:rsidR="00480568" w:rsidRPr="00D24A02">
        <w:rPr>
          <w:b w:val="0"/>
          <w:color w:val="0070C0"/>
          <w:szCs w:val="20"/>
        </w:rPr>
        <w:t>oraz Ustawą</w:t>
      </w:r>
      <w:r w:rsidR="004B063E" w:rsidRPr="00D24A02">
        <w:rPr>
          <w:b w:val="0"/>
          <w:color w:val="0070C0"/>
          <w:szCs w:val="20"/>
        </w:rPr>
        <w:t xml:space="preserve"> o zapasach</w:t>
      </w:r>
      <w:r w:rsidR="00D24A02">
        <w:rPr>
          <w:b w:val="0"/>
          <w:color w:val="0070C0"/>
          <w:szCs w:val="20"/>
        </w:rPr>
        <w:t>.</w:t>
      </w:r>
      <w:r w:rsidR="00D24A02" w:rsidRPr="00D24A02">
        <w:rPr>
          <w:b w:val="0"/>
          <w:szCs w:val="20"/>
        </w:rPr>
        <w:t xml:space="preserve"> Szczegółowe informacje dotyczące dostępnych środków rynkowych</w:t>
      </w:r>
      <w:r w:rsidR="003E6BA9">
        <w:rPr>
          <w:b w:val="0"/>
          <w:szCs w:val="20"/>
        </w:rPr>
        <w:t xml:space="preserve"> oraz nierynkowych i </w:t>
      </w:r>
      <w:r w:rsidR="00D24A02" w:rsidRPr="00D24A02">
        <w:rPr>
          <w:b w:val="0"/>
          <w:szCs w:val="20"/>
        </w:rPr>
        <w:t>ilościow</w:t>
      </w:r>
      <w:r w:rsidR="003E6BA9">
        <w:rPr>
          <w:b w:val="0"/>
          <w:szCs w:val="20"/>
        </w:rPr>
        <w:t>e</w:t>
      </w:r>
      <w:r w:rsidR="00D24A02" w:rsidRPr="00D24A02">
        <w:rPr>
          <w:b w:val="0"/>
          <w:szCs w:val="20"/>
        </w:rPr>
        <w:t xml:space="preserve"> efekty ich wprowadzenia przedstawia załącznik nr 2 do Procedury.</w:t>
      </w:r>
    </w:p>
    <w:p w14:paraId="2037611D" w14:textId="71C68754" w:rsidR="00347760" w:rsidRDefault="00480568" w:rsidP="00CC048C">
      <w:pPr>
        <w:pStyle w:val="Nagwek2"/>
        <w:numPr>
          <w:ilvl w:val="0"/>
          <w:numId w:val="2"/>
        </w:numPr>
        <w:rPr>
          <w:b/>
          <w:szCs w:val="20"/>
        </w:rPr>
      </w:pPr>
      <w:bookmarkStart w:id="20" w:name="_Toc360981361"/>
      <w:bookmarkStart w:id="21" w:name="_Toc509489497"/>
      <w:r w:rsidRPr="00D24A02">
        <w:rPr>
          <w:b/>
          <w:szCs w:val="20"/>
        </w:rPr>
        <w:t>D</w:t>
      </w:r>
      <w:r w:rsidR="00784AC7" w:rsidRPr="00D24A02">
        <w:rPr>
          <w:b/>
          <w:szCs w:val="20"/>
        </w:rPr>
        <w:t>ostępne środki rynkowe oraz sposób ich wprowadzenia</w:t>
      </w:r>
      <w:bookmarkEnd w:id="20"/>
      <w:bookmarkEnd w:id="21"/>
      <w:r w:rsidR="00784AC7" w:rsidRPr="00D24A02">
        <w:rPr>
          <w:b/>
          <w:szCs w:val="20"/>
        </w:rPr>
        <w:t xml:space="preserve"> </w:t>
      </w:r>
    </w:p>
    <w:p w14:paraId="07956650" w14:textId="4D01A899" w:rsidR="00347760" w:rsidRPr="004857D6" w:rsidRDefault="006C4269" w:rsidP="00E523D1">
      <w:pPr>
        <w:pStyle w:val="Bezodstpw0"/>
        <w:spacing w:line="360" w:lineRule="auto"/>
        <w:jc w:val="both"/>
        <w:rPr>
          <w:b w:val="0"/>
          <w:szCs w:val="20"/>
        </w:rPr>
      </w:pPr>
      <w:r>
        <w:rPr>
          <w:b w:val="0"/>
          <w:szCs w:val="20"/>
        </w:rPr>
        <w:t>ZUP lub podmiot zobowiązany</w:t>
      </w:r>
      <w:r w:rsidR="00347760" w:rsidRPr="004857D6">
        <w:rPr>
          <w:b w:val="0"/>
          <w:szCs w:val="20"/>
        </w:rPr>
        <w:t xml:space="preserve"> uruchamia dostępne środki rynkowe w zakresie niezbędnym do zniwelowania skutków zagrożenia</w:t>
      </w:r>
      <w:r w:rsidR="00BB7EE3" w:rsidRPr="004857D6">
        <w:rPr>
          <w:b w:val="0"/>
          <w:szCs w:val="20"/>
        </w:rPr>
        <w:t>,</w:t>
      </w:r>
      <w:r w:rsidR="00347760" w:rsidRPr="004857D6">
        <w:rPr>
          <w:b w:val="0"/>
          <w:szCs w:val="20"/>
        </w:rPr>
        <w:t xml:space="preserve"> </w:t>
      </w:r>
      <w:r w:rsidR="00D07006" w:rsidRPr="004857D6">
        <w:rPr>
          <w:b w:val="0"/>
          <w:szCs w:val="20"/>
        </w:rPr>
        <w:t>uwzględniając oddziaływanie proponowanych środków na środowisko oraz, na tyle, na ile to możliwe, obejmuje priorytetem środki o najmniejszym oddziaływaniu na środowisko, biorąc pod uwagę aspekty bezpieczeństwa dostaw.</w:t>
      </w:r>
    </w:p>
    <w:p w14:paraId="0982B733" w14:textId="77777777" w:rsidR="00E4090F" w:rsidRPr="004F4A00" w:rsidRDefault="001A32B5" w:rsidP="005D64C5">
      <w:pPr>
        <w:rPr>
          <w:szCs w:val="20"/>
        </w:rPr>
      </w:pPr>
      <w:r w:rsidRPr="004F4A00">
        <w:rPr>
          <w:szCs w:val="20"/>
        </w:rPr>
        <w:t>Lista dostępnych środków rynkowych</w:t>
      </w:r>
      <w:r w:rsidR="00856495" w:rsidRPr="004F4A00">
        <w:rPr>
          <w:szCs w:val="20"/>
        </w:rPr>
        <w:t>:</w:t>
      </w:r>
      <w:r w:rsidRPr="004F4A00">
        <w:rPr>
          <w:szCs w:val="20"/>
        </w:rPr>
        <w:t xml:space="preserve"> </w:t>
      </w:r>
    </w:p>
    <w:p w14:paraId="76BAD27A" w14:textId="77777777" w:rsidR="001A32B5" w:rsidRDefault="001A32B5" w:rsidP="00CC048C">
      <w:pPr>
        <w:pStyle w:val="Nagwek7"/>
        <w:numPr>
          <w:ilvl w:val="0"/>
          <w:numId w:val="12"/>
        </w:numPr>
      </w:pPr>
      <w:r w:rsidRPr="004F4A00">
        <w:t>Środki dotyczące strony podażowej</w:t>
      </w:r>
      <w:r w:rsidR="00856495" w:rsidRPr="004F4A00">
        <w:t>: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2547"/>
        <w:gridCol w:w="6260"/>
        <w:gridCol w:w="1253"/>
      </w:tblGrid>
      <w:tr w:rsidR="00454CC6" w:rsidRPr="00483955" w14:paraId="7B6BD125" w14:textId="78FBC8D0" w:rsidTr="00AB2CE3">
        <w:trPr>
          <w:jc w:val="center"/>
        </w:trPr>
        <w:tc>
          <w:tcPr>
            <w:tcW w:w="2547" w:type="dxa"/>
          </w:tcPr>
          <w:p w14:paraId="78297FF0" w14:textId="77777777" w:rsidR="00454CC6" w:rsidRPr="00483955" w:rsidRDefault="00454CC6" w:rsidP="005A3EEF">
            <w:pPr>
              <w:pStyle w:val="Akapitzlist"/>
              <w:jc w:val="center"/>
              <w:rPr>
                <w:szCs w:val="18"/>
              </w:rPr>
            </w:pPr>
            <w:r w:rsidRPr="00483955">
              <w:rPr>
                <w:szCs w:val="18"/>
              </w:rPr>
              <w:t>Kategoria</w:t>
            </w:r>
          </w:p>
        </w:tc>
        <w:tc>
          <w:tcPr>
            <w:tcW w:w="6260" w:type="dxa"/>
          </w:tcPr>
          <w:p w14:paraId="57893282" w14:textId="77777777" w:rsidR="00454CC6" w:rsidRDefault="00454CC6" w:rsidP="006C4269">
            <w:pPr>
              <w:pStyle w:val="Akapitzlist"/>
              <w:jc w:val="center"/>
              <w:rPr>
                <w:szCs w:val="18"/>
              </w:rPr>
            </w:pPr>
            <w:r w:rsidRPr="00483955">
              <w:rPr>
                <w:szCs w:val="18"/>
              </w:rPr>
              <w:t>Sposób wprowadzenia dostępnych środków</w:t>
            </w:r>
          </w:p>
          <w:p w14:paraId="6B1E107F" w14:textId="7853EDE9" w:rsidR="00454CC6" w:rsidRPr="00AB2CE3" w:rsidRDefault="00454CC6" w:rsidP="00B62176">
            <w:pPr>
              <w:pStyle w:val="Akapitzlist"/>
              <w:jc w:val="center"/>
              <w:rPr>
                <w:color w:val="0070C0"/>
                <w:szCs w:val="18"/>
              </w:rPr>
            </w:pPr>
            <w:r w:rsidRPr="00D24A02">
              <w:rPr>
                <w:color w:val="0070C0"/>
                <w:szCs w:val="18"/>
              </w:rPr>
              <w:t xml:space="preserve">Do uzupełnienia o informację dot. dostępności </w:t>
            </w:r>
            <w:r w:rsidR="009526DD" w:rsidRPr="00D24A02">
              <w:rPr>
                <w:color w:val="0070C0"/>
                <w:szCs w:val="18"/>
              </w:rPr>
              <w:t>środka</w:t>
            </w:r>
          </w:p>
        </w:tc>
        <w:tc>
          <w:tcPr>
            <w:tcW w:w="1253" w:type="dxa"/>
          </w:tcPr>
          <w:p w14:paraId="6FC12466" w14:textId="77777777" w:rsidR="00454CC6" w:rsidRDefault="00454CC6" w:rsidP="006C4269">
            <w:pPr>
              <w:pStyle w:val="Akapitzlist"/>
              <w:jc w:val="center"/>
              <w:rPr>
                <w:szCs w:val="18"/>
              </w:rPr>
            </w:pPr>
            <w:r>
              <w:rPr>
                <w:szCs w:val="18"/>
              </w:rPr>
              <w:t>Dostępność środka</w:t>
            </w:r>
          </w:p>
          <w:p w14:paraId="6E53BB69" w14:textId="60910643" w:rsidR="00454CC6" w:rsidRPr="00483955" w:rsidRDefault="00454CC6" w:rsidP="006C4269">
            <w:pPr>
              <w:pStyle w:val="Akapitzlist"/>
              <w:jc w:val="center"/>
              <w:rPr>
                <w:szCs w:val="18"/>
              </w:rPr>
            </w:pPr>
            <w:r>
              <w:rPr>
                <w:szCs w:val="18"/>
              </w:rPr>
              <w:t>TAK/NIE</w:t>
            </w:r>
          </w:p>
        </w:tc>
      </w:tr>
      <w:tr w:rsidR="00454CC6" w:rsidRPr="00483955" w14:paraId="0046C75C" w14:textId="1D49A20F" w:rsidTr="00AB2CE3">
        <w:trPr>
          <w:jc w:val="center"/>
        </w:trPr>
        <w:tc>
          <w:tcPr>
            <w:tcW w:w="2547" w:type="dxa"/>
          </w:tcPr>
          <w:p w14:paraId="72435FC4" w14:textId="59BD4876" w:rsidR="00454CC6" w:rsidRPr="00483955" w:rsidRDefault="00454CC6" w:rsidP="00CC048C">
            <w:pPr>
              <w:pStyle w:val="Akapitzlist"/>
              <w:numPr>
                <w:ilvl w:val="0"/>
                <w:numId w:val="7"/>
              </w:numPr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Zwiększenie elastyczności produkcji</w:t>
            </w:r>
            <w:r>
              <w:rPr>
                <w:szCs w:val="18"/>
              </w:rPr>
              <w:t xml:space="preserve"> gazu ziemnego</w:t>
            </w:r>
          </w:p>
        </w:tc>
        <w:tc>
          <w:tcPr>
            <w:tcW w:w="6260" w:type="dxa"/>
          </w:tcPr>
          <w:p w14:paraId="3CE03464" w14:textId="7F7E3A8F" w:rsidR="00454CC6" w:rsidRPr="006C4269" w:rsidRDefault="00454CC6" w:rsidP="00CC048C">
            <w:pPr>
              <w:pStyle w:val="Akapitzlist"/>
              <w:numPr>
                <w:ilvl w:val="0"/>
                <w:numId w:val="8"/>
              </w:numPr>
              <w:rPr>
                <w:szCs w:val="18"/>
              </w:rPr>
            </w:pPr>
            <w:r w:rsidRPr="00483955">
              <w:rPr>
                <w:szCs w:val="18"/>
              </w:rPr>
              <w:t xml:space="preserve">W przypadku konieczności zwiększenia dostaw gazu ziemnego do systemu przesyłowego </w:t>
            </w:r>
            <w:r>
              <w:rPr>
                <w:szCs w:val="18"/>
              </w:rPr>
              <w:t>ZUP lub podmiot zobowiązany</w:t>
            </w:r>
            <w:r w:rsidRPr="00483955">
              <w:rPr>
                <w:szCs w:val="18"/>
              </w:rPr>
              <w:t xml:space="preserve"> podejmuje działania zmierzające do zwiększenia dostaw gazu z kopalń gazu ziemnego oraz </w:t>
            </w:r>
            <w:proofErr w:type="spellStart"/>
            <w:r w:rsidRPr="00483955">
              <w:rPr>
                <w:szCs w:val="18"/>
              </w:rPr>
              <w:t>odazotowni</w:t>
            </w:r>
            <w:proofErr w:type="spellEnd"/>
            <w:r w:rsidR="00670685">
              <w:rPr>
                <w:szCs w:val="18"/>
              </w:rPr>
              <w:t>.</w:t>
            </w:r>
          </w:p>
        </w:tc>
        <w:tc>
          <w:tcPr>
            <w:tcW w:w="1253" w:type="dxa"/>
          </w:tcPr>
          <w:p w14:paraId="2CDAD71E" w14:textId="77777777" w:rsidR="00454CC6" w:rsidRPr="00483955" w:rsidRDefault="00454CC6" w:rsidP="00454CC6">
            <w:pPr>
              <w:pStyle w:val="Akapitzlist"/>
              <w:ind w:left="360"/>
              <w:rPr>
                <w:szCs w:val="18"/>
              </w:rPr>
            </w:pPr>
          </w:p>
        </w:tc>
      </w:tr>
      <w:tr w:rsidR="00454CC6" w:rsidRPr="00483955" w14:paraId="42202BCB" w14:textId="627B602E" w:rsidTr="00AB2CE3">
        <w:trPr>
          <w:jc w:val="center"/>
        </w:trPr>
        <w:tc>
          <w:tcPr>
            <w:tcW w:w="2547" w:type="dxa"/>
          </w:tcPr>
          <w:p w14:paraId="365ABE88" w14:textId="5F5C742A" w:rsidR="00454CC6" w:rsidRPr="00483955" w:rsidRDefault="00454CC6" w:rsidP="00CC048C">
            <w:pPr>
              <w:pStyle w:val="Akapitzlist"/>
              <w:numPr>
                <w:ilvl w:val="0"/>
                <w:numId w:val="7"/>
              </w:numPr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Zwiększenie elastyczności</w:t>
            </w:r>
            <w:r>
              <w:rPr>
                <w:szCs w:val="18"/>
              </w:rPr>
              <w:t xml:space="preserve"> przywozu gazu ziemnego</w:t>
            </w:r>
          </w:p>
        </w:tc>
        <w:tc>
          <w:tcPr>
            <w:tcW w:w="6260" w:type="dxa"/>
          </w:tcPr>
          <w:p w14:paraId="5B9E554B" w14:textId="1F028341" w:rsidR="00454CC6" w:rsidRDefault="00454CC6" w:rsidP="00CC048C">
            <w:pPr>
              <w:pStyle w:val="Akapitzlist"/>
              <w:numPr>
                <w:ilvl w:val="0"/>
                <w:numId w:val="6"/>
              </w:numPr>
              <w:rPr>
                <w:szCs w:val="18"/>
              </w:rPr>
            </w:pPr>
            <w:r w:rsidRPr="00483955">
              <w:rPr>
                <w:szCs w:val="18"/>
              </w:rPr>
              <w:t>W przypadku konieczności zwiększenia dostaw gazu ziemnego do systemu przesyłowego, podejmuje działania zmierzające do zwiększenia dostaw gazu z</w:t>
            </w:r>
            <w:r>
              <w:rPr>
                <w:szCs w:val="18"/>
              </w:rPr>
              <w:t xml:space="preserve"> przywozu</w:t>
            </w:r>
            <w:r w:rsidRPr="00483955">
              <w:rPr>
                <w:szCs w:val="18"/>
              </w:rPr>
              <w:t xml:space="preserve"> w ramach dostępnych zdolności</w:t>
            </w:r>
            <w:r w:rsidR="00BE40F6">
              <w:rPr>
                <w:szCs w:val="18"/>
              </w:rPr>
              <w:t>;</w:t>
            </w:r>
          </w:p>
          <w:p w14:paraId="1D0A0A12" w14:textId="343361D9" w:rsidR="00201CDE" w:rsidRPr="00201CDE" w:rsidRDefault="00201CDE" w:rsidP="00CC048C">
            <w:pPr>
              <w:pStyle w:val="Akapitzlist"/>
              <w:numPr>
                <w:ilvl w:val="0"/>
                <w:numId w:val="6"/>
              </w:numPr>
              <w:rPr>
                <w:szCs w:val="18"/>
              </w:rPr>
            </w:pPr>
            <w:r w:rsidRPr="00483955">
              <w:rPr>
                <w:szCs w:val="18"/>
              </w:rPr>
              <w:t xml:space="preserve">W przypadku konieczności zwiększenia dostaw gazu ziemnego do systemu przesyłowego, </w:t>
            </w:r>
            <w:r>
              <w:rPr>
                <w:szCs w:val="18"/>
              </w:rPr>
              <w:t>ZUP lub podmiot zobowiązany</w:t>
            </w:r>
            <w:r w:rsidRPr="00483955">
              <w:rPr>
                <w:szCs w:val="18"/>
              </w:rPr>
              <w:t xml:space="preserve"> podejmuje działania zmierzające do zawarcia umów przesyłowych (dodatkowych przydziałów przepustowości/ przydziałów zdolności) i/lub umów handlowych</w:t>
            </w:r>
            <w:r w:rsidR="00B62176">
              <w:rPr>
                <w:szCs w:val="18"/>
              </w:rPr>
              <w:t>;</w:t>
            </w:r>
          </w:p>
          <w:p w14:paraId="3F192152" w14:textId="7B14C3D8" w:rsidR="00201CDE" w:rsidRPr="00AB2CE3" w:rsidRDefault="009526DD" w:rsidP="00AB2CE3">
            <w:pPr>
              <w:pStyle w:val="Akapitzlist"/>
              <w:numPr>
                <w:ilvl w:val="0"/>
                <w:numId w:val="6"/>
              </w:numPr>
              <w:rPr>
                <w:szCs w:val="18"/>
              </w:rPr>
            </w:pPr>
            <w:r w:rsidRPr="00483955">
              <w:rPr>
                <w:szCs w:val="18"/>
              </w:rPr>
              <w:t xml:space="preserve">W przypadku konieczności przekierowania dostaw gazu na inne punkty wejścia, </w:t>
            </w:r>
            <w:r>
              <w:rPr>
                <w:szCs w:val="18"/>
              </w:rPr>
              <w:t xml:space="preserve">ZUP lub podmiot zobowiązany </w:t>
            </w:r>
            <w:r w:rsidRPr="00483955">
              <w:rPr>
                <w:szCs w:val="18"/>
              </w:rPr>
              <w:t>podejmuje</w:t>
            </w:r>
            <w:r>
              <w:rPr>
                <w:szCs w:val="18"/>
              </w:rPr>
              <w:t xml:space="preserve"> stosowne</w:t>
            </w:r>
            <w:r w:rsidRPr="00483955">
              <w:rPr>
                <w:szCs w:val="18"/>
              </w:rPr>
              <w:t xml:space="preserve"> działania</w:t>
            </w:r>
            <w:r w:rsidR="00BE40F6">
              <w:rPr>
                <w:szCs w:val="18"/>
              </w:rPr>
              <w:t>.</w:t>
            </w:r>
          </w:p>
        </w:tc>
        <w:tc>
          <w:tcPr>
            <w:tcW w:w="1253" w:type="dxa"/>
          </w:tcPr>
          <w:p w14:paraId="3225AD16" w14:textId="77777777" w:rsidR="00454CC6" w:rsidRPr="00483955" w:rsidRDefault="00454CC6" w:rsidP="00454CC6">
            <w:pPr>
              <w:pStyle w:val="Akapitzlist"/>
              <w:ind w:left="360"/>
              <w:rPr>
                <w:szCs w:val="18"/>
              </w:rPr>
            </w:pPr>
          </w:p>
        </w:tc>
      </w:tr>
      <w:tr w:rsidR="00454CC6" w:rsidRPr="00483955" w14:paraId="7A442F27" w14:textId="6A6DFFCE" w:rsidTr="00AB2CE3">
        <w:trPr>
          <w:jc w:val="center"/>
        </w:trPr>
        <w:tc>
          <w:tcPr>
            <w:tcW w:w="2547" w:type="dxa"/>
          </w:tcPr>
          <w:p w14:paraId="673CDEE3" w14:textId="1EFF8342" w:rsidR="00454CC6" w:rsidRPr="00483955" w:rsidRDefault="00454CC6" w:rsidP="00AB2CE3">
            <w:pPr>
              <w:pStyle w:val="Akapitzlist"/>
              <w:numPr>
                <w:ilvl w:val="0"/>
                <w:numId w:val="7"/>
              </w:numPr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Komercyjne</w:t>
            </w:r>
            <w:r>
              <w:rPr>
                <w:szCs w:val="18"/>
              </w:rPr>
              <w:t xml:space="preserve"> magazynowanie</w:t>
            </w:r>
            <w:r w:rsidRPr="00483955">
              <w:rPr>
                <w:szCs w:val="18"/>
              </w:rPr>
              <w:t xml:space="preserve"> gazu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6260" w:type="dxa"/>
          </w:tcPr>
          <w:p w14:paraId="1E31DEFC" w14:textId="374B185E" w:rsidR="00454CC6" w:rsidRPr="00454CC6" w:rsidRDefault="00454CC6" w:rsidP="00CC048C">
            <w:pPr>
              <w:pStyle w:val="Akapitzlist"/>
              <w:numPr>
                <w:ilvl w:val="0"/>
                <w:numId w:val="9"/>
              </w:numPr>
              <w:rPr>
                <w:szCs w:val="18"/>
              </w:rPr>
            </w:pPr>
            <w:r w:rsidRPr="00483955">
              <w:rPr>
                <w:szCs w:val="18"/>
              </w:rPr>
              <w:t xml:space="preserve">W przypadku konieczności zwiększenia dostaw gazu ziemnego do systemu przesyłowego, </w:t>
            </w:r>
            <w:r>
              <w:rPr>
                <w:szCs w:val="18"/>
              </w:rPr>
              <w:t xml:space="preserve">ZUP lub podmiot zobowiązany </w:t>
            </w:r>
            <w:r w:rsidRPr="00483955">
              <w:rPr>
                <w:szCs w:val="18"/>
              </w:rPr>
              <w:t>podejmuje działania zmierzające do zwiększenia dostaw gazu ziemnego z podziemnych magazynów gazu w ramach zdolności odbioru i iloś</w:t>
            </w:r>
            <w:r>
              <w:rPr>
                <w:szCs w:val="18"/>
              </w:rPr>
              <w:t>ci</w:t>
            </w:r>
            <w:r w:rsidRPr="00483955">
              <w:rPr>
                <w:szCs w:val="18"/>
              </w:rPr>
              <w:t xml:space="preserve"> zmagazynowanego gazu na cele komercyjne</w:t>
            </w:r>
            <w:r>
              <w:rPr>
                <w:szCs w:val="18"/>
              </w:rPr>
              <w:t>.</w:t>
            </w:r>
          </w:p>
        </w:tc>
        <w:tc>
          <w:tcPr>
            <w:tcW w:w="1253" w:type="dxa"/>
          </w:tcPr>
          <w:p w14:paraId="18FB615F" w14:textId="77777777" w:rsidR="00454CC6" w:rsidRPr="00483955" w:rsidRDefault="00454CC6" w:rsidP="00454CC6">
            <w:pPr>
              <w:pStyle w:val="Akapitzlist"/>
              <w:ind w:left="360"/>
              <w:rPr>
                <w:szCs w:val="18"/>
              </w:rPr>
            </w:pPr>
          </w:p>
        </w:tc>
      </w:tr>
    </w:tbl>
    <w:p w14:paraId="56B74D1F" w14:textId="77777777" w:rsidR="004D5CD6" w:rsidRPr="00A556A7" w:rsidRDefault="004D5CD6" w:rsidP="00CC048C">
      <w:pPr>
        <w:pStyle w:val="Nagwek7"/>
        <w:numPr>
          <w:ilvl w:val="0"/>
          <w:numId w:val="12"/>
        </w:numPr>
        <w:spacing w:before="120" w:after="120"/>
        <w:ind w:left="714" w:hanging="357"/>
      </w:pPr>
      <w:r w:rsidRPr="00A556A7">
        <w:lastRenderedPageBreak/>
        <w:t>Środki dotyczące strony popytowej</w:t>
      </w:r>
      <w:r w:rsidR="00856495" w:rsidRPr="00A556A7">
        <w:t>:</w:t>
      </w:r>
    </w:p>
    <w:tbl>
      <w:tblPr>
        <w:tblStyle w:val="Tabela-Siatka"/>
        <w:tblW w:w="5224" w:type="pct"/>
        <w:jc w:val="center"/>
        <w:tblLook w:val="04A0" w:firstRow="1" w:lastRow="0" w:firstColumn="1" w:lastColumn="0" w:noHBand="0" w:noVBand="1"/>
      </w:tblPr>
      <w:tblGrid>
        <w:gridCol w:w="2264"/>
        <w:gridCol w:w="6542"/>
        <w:gridCol w:w="1253"/>
      </w:tblGrid>
      <w:tr w:rsidR="00584E18" w:rsidRPr="00483955" w14:paraId="61225481" w14:textId="138D933A" w:rsidTr="00AB2CE3">
        <w:trPr>
          <w:trHeight w:val="786"/>
          <w:jc w:val="center"/>
        </w:trPr>
        <w:tc>
          <w:tcPr>
            <w:tcW w:w="1125" w:type="pct"/>
            <w:vAlign w:val="center"/>
          </w:tcPr>
          <w:p w14:paraId="5116940C" w14:textId="77777777" w:rsidR="00584E18" w:rsidRPr="00483955" w:rsidRDefault="00584E18" w:rsidP="00532F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83955">
              <w:rPr>
                <w:sz w:val="18"/>
                <w:szCs w:val="18"/>
              </w:rPr>
              <w:t>Kategoria</w:t>
            </w:r>
          </w:p>
        </w:tc>
        <w:tc>
          <w:tcPr>
            <w:tcW w:w="3252" w:type="pct"/>
            <w:vAlign w:val="center"/>
          </w:tcPr>
          <w:p w14:paraId="0B4ACCF1" w14:textId="4FA4EA1B" w:rsidR="00AB2CE3" w:rsidRDefault="00584E18" w:rsidP="00AB2CE3">
            <w:pPr>
              <w:pStyle w:val="Akapitzlist"/>
              <w:jc w:val="center"/>
              <w:rPr>
                <w:szCs w:val="18"/>
              </w:rPr>
            </w:pPr>
            <w:r w:rsidRPr="00483955">
              <w:rPr>
                <w:szCs w:val="18"/>
              </w:rPr>
              <w:t xml:space="preserve">Sposób wprowadzenia dostępnych </w:t>
            </w:r>
            <w:r w:rsidR="009526DD" w:rsidRPr="00483955">
              <w:rPr>
                <w:szCs w:val="18"/>
              </w:rPr>
              <w:t>środków</w:t>
            </w:r>
          </w:p>
          <w:p w14:paraId="6B561D88" w14:textId="46DAFB61" w:rsidR="00584E18" w:rsidRPr="006C4269" w:rsidRDefault="00584E18" w:rsidP="004E1D35">
            <w:pPr>
              <w:pStyle w:val="Akapitzlist"/>
              <w:rPr>
                <w:color w:val="984806" w:themeColor="accent6" w:themeShade="80"/>
                <w:szCs w:val="18"/>
              </w:rPr>
            </w:pPr>
            <w:r w:rsidRPr="00AB2CE3">
              <w:rPr>
                <w:color w:val="0070C0"/>
                <w:szCs w:val="18"/>
              </w:rPr>
              <w:t xml:space="preserve">Do uzupełnienia o informację dot. dostępności </w:t>
            </w:r>
            <w:r w:rsidR="00AB2CE3" w:rsidRPr="00AB2CE3">
              <w:rPr>
                <w:color w:val="0070C0"/>
                <w:szCs w:val="18"/>
              </w:rPr>
              <w:t>środka</w:t>
            </w:r>
            <w:r w:rsidRPr="00AB2CE3">
              <w:rPr>
                <w:color w:val="0070C0"/>
                <w:szCs w:val="18"/>
              </w:rPr>
              <w:t xml:space="preserve"> </w:t>
            </w:r>
          </w:p>
          <w:p w14:paraId="6A3A7EE0" w14:textId="09B37057" w:rsidR="00584E18" w:rsidRPr="00483955" w:rsidRDefault="00584E18" w:rsidP="00532F3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</w:tcPr>
          <w:p w14:paraId="66ECC9CA" w14:textId="77777777" w:rsidR="008024C0" w:rsidRDefault="008024C0" w:rsidP="00E33C43">
            <w:pPr>
              <w:pStyle w:val="Akapitzlist"/>
              <w:jc w:val="center"/>
              <w:rPr>
                <w:szCs w:val="18"/>
              </w:rPr>
            </w:pPr>
            <w:r>
              <w:rPr>
                <w:szCs w:val="18"/>
              </w:rPr>
              <w:t>Dostępność środka</w:t>
            </w:r>
          </w:p>
          <w:p w14:paraId="3955D523" w14:textId="250642CB" w:rsidR="00584E18" w:rsidRPr="00483955" w:rsidRDefault="008024C0" w:rsidP="00E33C43">
            <w:pPr>
              <w:pStyle w:val="Akapitzlist"/>
              <w:jc w:val="center"/>
              <w:rPr>
                <w:szCs w:val="18"/>
              </w:rPr>
            </w:pPr>
            <w:r>
              <w:rPr>
                <w:szCs w:val="18"/>
              </w:rPr>
              <w:t>TAK/NIE</w:t>
            </w:r>
          </w:p>
        </w:tc>
      </w:tr>
      <w:tr w:rsidR="009526DD" w:rsidRPr="00483955" w14:paraId="239F5EAD" w14:textId="2CDE7AFB" w:rsidTr="00201CDE">
        <w:trPr>
          <w:trHeight w:val="492"/>
          <w:jc w:val="center"/>
        </w:trPr>
        <w:tc>
          <w:tcPr>
            <w:tcW w:w="1125" w:type="pct"/>
          </w:tcPr>
          <w:p w14:paraId="7D10BFBD" w14:textId="77777777" w:rsidR="009526DD" w:rsidRPr="00483955" w:rsidRDefault="009526DD" w:rsidP="00CC048C">
            <w:pPr>
              <w:pStyle w:val="Akapitzlist"/>
              <w:numPr>
                <w:ilvl w:val="0"/>
                <w:numId w:val="11"/>
              </w:numPr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Stosowanie umów na usługi przerywane</w:t>
            </w:r>
            <w:r w:rsidRPr="004F6A9C">
              <w:rPr>
                <w:rStyle w:val="Odwoanieprzypisudolnego"/>
                <w:szCs w:val="18"/>
              </w:rPr>
              <w:footnoteReference w:id="3"/>
            </w:r>
          </w:p>
        </w:tc>
        <w:tc>
          <w:tcPr>
            <w:tcW w:w="3252" w:type="pct"/>
          </w:tcPr>
          <w:p w14:paraId="59311C23" w14:textId="076D2107" w:rsidR="009526DD" w:rsidRDefault="009526DD" w:rsidP="00DA1954">
            <w:pPr>
              <w:pStyle w:val="Akapitzlist"/>
              <w:rPr>
                <w:szCs w:val="18"/>
              </w:rPr>
            </w:pPr>
            <w:r>
              <w:rPr>
                <w:szCs w:val="18"/>
              </w:rPr>
              <w:t>W przypadku konieczności zmniejszenia dostaw gazu ziemnego do odbiorców ZUP lub podmiot zobowiązany podejmuje działania wynikające z stosownych zapisów w umowach na usługi przerywane.</w:t>
            </w:r>
          </w:p>
          <w:p w14:paraId="4941A128" w14:textId="75D065A1" w:rsidR="009526DD" w:rsidRDefault="009526DD" w:rsidP="00DA1954">
            <w:pPr>
              <w:pStyle w:val="Akapitzlist"/>
              <w:rPr>
                <w:szCs w:val="18"/>
              </w:rPr>
            </w:pPr>
          </w:p>
          <w:p w14:paraId="32FCB458" w14:textId="00A463CE" w:rsidR="009526DD" w:rsidRPr="00DC50A4" w:rsidRDefault="009526DD" w:rsidP="009526DD">
            <w:pPr>
              <w:pStyle w:val="Akapitzlist"/>
              <w:rPr>
                <w:szCs w:val="18"/>
              </w:rPr>
            </w:pPr>
          </w:p>
        </w:tc>
        <w:tc>
          <w:tcPr>
            <w:tcW w:w="623" w:type="pct"/>
          </w:tcPr>
          <w:p w14:paraId="6E20ABCC" w14:textId="77777777" w:rsidR="009526DD" w:rsidRPr="00483955" w:rsidRDefault="009526DD" w:rsidP="00DA1954">
            <w:pPr>
              <w:pStyle w:val="Akapitzlist"/>
              <w:rPr>
                <w:szCs w:val="18"/>
              </w:rPr>
            </w:pPr>
          </w:p>
        </w:tc>
      </w:tr>
      <w:tr w:rsidR="009526DD" w:rsidRPr="00483955" w14:paraId="3179CFAF" w14:textId="766BAF49" w:rsidTr="00201CDE">
        <w:trPr>
          <w:trHeight w:val="489"/>
          <w:jc w:val="center"/>
        </w:trPr>
        <w:tc>
          <w:tcPr>
            <w:tcW w:w="1125" w:type="pct"/>
          </w:tcPr>
          <w:p w14:paraId="33FFC9FF" w14:textId="77777777" w:rsidR="009526DD" w:rsidRPr="00483955" w:rsidRDefault="009526DD" w:rsidP="00CC048C">
            <w:pPr>
              <w:pStyle w:val="Akapitzlist"/>
              <w:numPr>
                <w:ilvl w:val="0"/>
                <w:numId w:val="11"/>
              </w:numPr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Możliwość przestawienia się na inne paliwa, w tym wykorzystywanie paliw alternatywnych w elektrowniach przemysłowych i zakładach energetycznych</w:t>
            </w:r>
          </w:p>
        </w:tc>
        <w:tc>
          <w:tcPr>
            <w:tcW w:w="3252" w:type="pct"/>
          </w:tcPr>
          <w:p w14:paraId="662FC2CB" w14:textId="75D83280" w:rsidR="009526DD" w:rsidRDefault="009526DD" w:rsidP="009526DD">
            <w:pPr>
              <w:pStyle w:val="Akapitzlist"/>
              <w:rPr>
                <w:szCs w:val="18"/>
              </w:rPr>
            </w:pPr>
            <w:r>
              <w:rPr>
                <w:szCs w:val="18"/>
              </w:rPr>
              <w:t>W przypadku konieczności zmniejszenia dostaw gazu ziemnego do odbiorców ZUP lub podmiot zobowiązany podejmuje działania prowadzące do przestawienia się odbiorcy na inne paliwa.</w:t>
            </w:r>
          </w:p>
          <w:p w14:paraId="76F5097C" w14:textId="66F528EC" w:rsidR="009526DD" w:rsidRPr="009526DD" w:rsidRDefault="009526DD" w:rsidP="009526DD">
            <w:pPr>
              <w:pStyle w:val="Akapitzlist"/>
              <w:rPr>
                <w:szCs w:val="18"/>
              </w:rPr>
            </w:pPr>
          </w:p>
        </w:tc>
        <w:tc>
          <w:tcPr>
            <w:tcW w:w="623" w:type="pct"/>
          </w:tcPr>
          <w:p w14:paraId="1C307F3B" w14:textId="77777777" w:rsidR="009526DD" w:rsidRPr="00483955" w:rsidRDefault="009526DD" w:rsidP="00E33C43">
            <w:pPr>
              <w:pStyle w:val="Akapitzlist"/>
              <w:ind w:left="176"/>
              <w:rPr>
                <w:szCs w:val="18"/>
              </w:rPr>
            </w:pPr>
          </w:p>
        </w:tc>
      </w:tr>
      <w:tr w:rsidR="009526DD" w:rsidRPr="00483955" w14:paraId="6E55260A" w14:textId="0B8DA9B8" w:rsidTr="00201CDE">
        <w:trPr>
          <w:trHeight w:val="489"/>
          <w:jc w:val="center"/>
        </w:trPr>
        <w:tc>
          <w:tcPr>
            <w:tcW w:w="1125" w:type="pct"/>
          </w:tcPr>
          <w:p w14:paraId="29214D4F" w14:textId="77777777" w:rsidR="009526DD" w:rsidRPr="00483955" w:rsidRDefault="009526DD" w:rsidP="00CC048C">
            <w:pPr>
              <w:pStyle w:val="Akapitzlist"/>
              <w:numPr>
                <w:ilvl w:val="0"/>
                <w:numId w:val="11"/>
              </w:numPr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Dobrowolne zmniejszanie obciążenia (</w:t>
            </w:r>
            <w:proofErr w:type="spellStart"/>
            <w:r w:rsidRPr="00483955">
              <w:rPr>
                <w:szCs w:val="18"/>
              </w:rPr>
              <w:t>load</w:t>
            </w:r>
            <w:proofErr w:type="spellEnd"/>
            <w:r w:rsidRPr="00483955">
              <w:rPr>
                <w:szCs w:val="18"/>
              </w:rPr>
              <w:t xml:space="preserve"> </w:t>
            </w:r>
            <w:proofErr w:type="spellStart"/>
            <w:r w:rsidRPr="00483955">
              <w:rPr>
                <w:szCs w:val="18"/>
              </w:rPr>
              <w:t>shedding</w:t>
            </w:r>
            <w:proofErr w:type="spellEnd"/>
            <w:r w:rsidRPr="00483955">
              <w:rPr>
                <w:szCs w:val="18"/>
              </w:rPr>
              <w:t>)</w:t>
            </w:r>
          </w:p>
        </w:tc>
        <w:tc>
          <w:tcPr>
            <w:tcW w:w="3252" w:type="pct"/>
          </w:tcPr>
          <w:p w14:paraId="7171147A" w14:textId="7C673E99" w:rsidR="009526DD" w:rsidRDefault="009526DD" w:rsidP="009526DD">
            <w:pPr>
              <w:pStyle w:val="Akapitzlist"/>
              <w:rPr>
                <w:szCs w:val="18"/>
              </w:rPr>
            </w:pPr>
            <w:r>
              <w:rPr>
                <w:szCs w:val="18"/>
              </w:rPr>
              <w:t>W przypadku konieczności zmniejszenia dostaw gazu ziemnego do odbiorców ZUP lub podmiot zobowiązany podejmuje działania prowadzące do dobrowolnego zmniejszenia obciążenia przez odbiorcę</w:t>
            </w:r>
          </w:p>
          <w:p w14:paraId="7D9F9647" w14:textId="77777777" w:rsidR="009526DD" w:rsidRPr="009526DD" w:rsidRDefault="009526DD" w:rsidP="009526DD">
            <w:pPr>
              <w:rPr>
                <w:szCs w:val="18"/>
              </w:rPr>
            </w:pPr>
          </w:p>
        </w:tc>
        <w:tc>
          <w:tcPr>
            <w:tcW w:w="623" w:type="pct"/>
          </w:tcPr>
          <w:p w14:paraId="54B49C8F" w14:textId="77777777" w:rsidR="009526DD" w:rsidRPr="00483955" w:rsidRDefault="009526DD" w:rsidP="00E33C43">
            <w:pPr>
              <w:pStyle w:val="Akapitzlist"/>
              <w:ind w:left="176"/>
              <w:rPr>
                <w:szCs w:val="18"/>
              </w:rPr>
            </w:pPr>
          </w:p>
        </w:tc>
      </w:tr>
    </w:tbl>
    <w:p w14:paraId="49E14A48" w14:textId="77777777" w:rsidR="00E33C43" w:rsidRDefault="00E33C43" w:rsidP="00E33C43">
      <w:pPr>
        <w:pStyle w:val="Nagwek2"/>
        <w:spacing w:before="240"/>
        <w:ind w:left="426"/>
        <w:rPr>
          <w:szCs w:val="20"/>
        </w:rPr>
      </w:pPr>
      <w:bookmarkStart w:id="22" w:name="_Toc360981362"/>
    </w:p>
    <w:p w14:paraId="0349393D" w14:textId="77777777" w:rsidR="00E33C43" w:rsidRDefault="00E33C43">
      <w:pPr>
        <w:spacing w:line="240" w:lineRule="auto"/>
        <w:rPr>
          <w:rFonts w:eastAsia="Times New Roman"/>
          <w:bCs/>
          <w:szCs w:val="20"/>
        </w:rPr>
      </w:pPr>
      <w:r>
        <w:rPr>
          <w:szCs w:val="20"/>
        </w:rPr>
        <w:br w:type="page"/>
      </w:r>
    </w:p>
    <w:p w14:paraId="1BB8E4FA" w14:textId="27CF8F81" w:rsidR="00784AC7" w:rsidRPr="00AB2CE3" w:rsidRDefault="00784AC7" w:rsidP="00CC048C">
      <w:pPr>
        <w:pStyle w:val="Nagwek2"/>
        <w:numPr>
          <w:ilvl w:val="1"/>
          <w:numId w:val="20"/>
        </w:numPr>
        <w:spacing w:before="240"/>
        <w:rPr>
          <w:b/>
          <w:szCs w:val="20"/>
        </w:rPr>
      </w:pPr>
      <w:bookmarkStart w:id="23" w:name="_Toc509489498"/>
      <w:r w:rsidRPr="00AB2CE3">
        <w:rPr>
          <w:b/>
          <w:szCs w:val="20"/>
        </w:rPr>
        <w:lastRenderedPageBreak/>
        <w:t>Możliwe do zastosowania środki nierynkowe oraz sposób ich wprowadzenia</w:t>
      </w:r>
      <w:bookmarkEnd w:id="22"/>
      <w:bookmarkEnd w:id="23"/>
    </w:p>
    <w:p w14:paraId="1F3507BD" w14:textId="77777777" w:rsidR="004D5CD6" w:rsidRPr="00826303" w:rsidRDefault="004D5CD6" w:rsidP="00415BDF">
      <w:r w:rsidRPr="00826303">
        <w:t>Lista dostępnych środków nierynkowych</w:t>
      </w:r>
      <w:r w:rsidR="00856495" w:rsidRPr="00826303">
        <w:t>:</w:t>
      </w:r>
      <w:r w:rsidRPr="00826303">
        <w:t xml:space="preserve"> </w:t>
      </w:r>
      <w:r w:rsidR="00C1148E" w:rsidRPr="00826303">
        <w:tab/>
      </w:r>
    </w:p>
    <w:p w14:paraId="5076AAFC" w14:textId="77777777" w:rsidR="00C9796B" w:rsidRPr="00826303" w:rsidRDefault="004D5CD6" w:rsidP="00CC048C">
      <w:pPr>
        <w:pStyle w:val="Nagwek7"/>
        <w:numPr>
          <w:ilvl w:val="0"/>
          <w:numId w:val="12"/>
        </w:numPr>
      </w:pPr>
      <w:r w:rsidRPr="00826303">
        <w:t>Środki dotyczące strony podażowej:</w:t>
      </w: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2548"/>
        <w:gridCol w:w="6237"/>
        <w:gridCol w:w="1278"/>
      </w:tblGrid>
      <w:tr w:rsidR="00584E18" w:rsidRPr="00483955" w14:paraId="3F927F63" w14:textId="4DD7C7A3" w:rsidTr="00921754">
        <w:trPr>
          <w:trHeight w:val="493"/>
          <w:jc w:val="center"/>
        </w:trPr>
        <w:tc>
          <w:tcPr>
            <w:tcW w:w="1266" w:type="pct"/>
            <w:vAlign w:val="center"/>
          </w:tcPr>
          <w:p w14:paraId="738A70C4" w14:textId="77777777" w:rsidR="00584E18" w:rsidRPr="00483955" w:rsidRDefault="00584E18" w:rsidP="00A556A7">
            <w:pPr>
              <w:jc w:val="center"/>
              <w:rPr>
                <w:sz w:val="18"/>
                <w:szCs w:val="18"/>
              </w:rPr>
            </w:pPr>
            <w:r w:rsidRPr="00483955">
              <w:rPr>
                <w:sz w:val="18"/>
                <w:szCs w:val="18"/>
              </w:rPr>
              <w:t>Kategoria</w:t>
            </w:r>
          </w:p>
        </w:tc>
        <w:tc>
          <w:tcPr>
            <w:tcW w:w="3099" w:type="pct"/>
            <w:vAlign w:val="center"/>
          </w:tcPr>
          <w:p w14:paraId="05FD7A7E" w14:textId="6850E466" w:rsidR="00AB2CE3" w:rsidRDefault="00584E18" w:rsidP="00AB2CE3">
            <w:pPr>
              <w:pStyle w:val="Akapitzlist"/>
              <w:jc w:val="center"/>
              <w:rPr>
                <w:color w:val="984806" w:themeColor="accent6" w:themeShade="80"/>
                <w:szCs w:val="18"/>
              </w:rPr>
            </w:pPr>
            <w:r w:rsidRPr="00483955">
              <w:rPr>
                <w:szCs w:val="18"/>
              </w:rPr>
              <w:t>Sposób wprowadzenia dostępnych środków</w:t>
            </w:r>
          </w:p>
          <w:p w14:paraId="62FD45B2" w14:textId="12047B1C" w:rsidR="00584E18" w:rsidRPr="00AB2CE3" w:rsidRDefault="00584E18" w:rsidP="00B62176">
            <w:pPr>
              <w:pStyle w:val="Akapitzlist"/>
              <w:jc w:val="center"/>
              <w:rPr>
                <w:color w:val="0070C0"/>
                <w:szCs w:val="18"/>
              </w:rPr>
            </w:pPr>
            <w:r w:rsidRPr="00AB2CE3">
              <w:rPr>
                <w:color w:val="0070C0"/>
                <w:szCs w:val="18"/>
              </w:rPr>
              <w:t xml:space="preserve">Do uzupełnienia o informację dot. dostępności </w:t>
            </w:r>
            <w:r w:rsidR="00AB2CE3" w:rsidRPr="00AB2CE3">
              <w:rPr>
                <w:color w:val="0070C0"/>
                <w:szCs w:val="18"/>
              </w:rPr>
              <w:t>środka</w:t>
            </w:r>
          </w:p>
          <w:p w14:paraId="21150CA3" w14:textId="3AE190DB" w:rsidR="00584E18" w:rsidRPr="00483955" w:rsidRDefault="00584E18" w:rsidP="00B62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5EE4EEA7" w14:textId="77777777" w:rsidR="008024C0" w:rsidRDefault="008024C0" w:rsidP="00E33C43">
            <w:pPr>
              <w:pStyle w:val="Akapitzlist"/>
              <w:jc w:val="center"/>
              <w:rPr>
                <w:szCs w:val="18"/>
              </w:rPr>
            </w:pPr>
            <w:r>
              <w:rPr>
                <w:szCs w:val="18"/>
              </w:rPr>
              <w:t>Dostępność środka</w:t>
            </w:r>
          </w:p>
          <w:p w14:paraId="6A12914D" w14:textId="0FA4657F" w:rsidR="00584E18" w:rsidRPr="00483955" w:rsidRDefault="008024C0" w:rsidP="00E33C43">
            <w:pPr>
              <w:pStyle w:val="Akapitzlist"/>
              <w:jc w:val="center"/>
              <w:rPr>
                <w:szCs w:val="18"/>
              </w:rPr>
            </w:pPr>
            <w:r>
              <w:rPr>
                <w:szCs w:val="18"/>
              </w:rPr>
              <w:t>TAK/NIE</w:t>
            </w:r>
          </w:p>
        </w:tc>
      </w:tr>
      <w:tr w:rsidR="00584E18" w:rsidRPr="00483955" w14:paraId="73DC1951" w14:textId="655D360D" w:rsidTr="00921754">
        <w:trPr>
          <w:jc w:val="center"/>
        </w:trPr>
        <w:tc>
          <w:tcPr>
            <w:tcW w:w="1266" w:type="pct"/>
          </w:tcPr>
          <w:p w14:paraId="722DDF50" w14:textId="6C512D08" w:rsidR="00584E18" w:rsidRPr="00483955" w:rsidRDefault="00584E18" w:rsidP="00CC048C">
            <w:pPr>
              <w:pStyle w:val="Akapitzlist"/>
              <w:numPr>
                <w:ilvl w:val="0"/>
                <w:numId w:val="13"/>
              </w:numPr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Wykorzystywanie rezerw strategicznych gazu</w:t>
            </w:r>
          </w:p>
        </w:tc>
        <w:tc>
          <w:tcPr>
            <w:tcW w:w="3099" w:type="pct"/>
            <w:vMerge w:val="restart"/>
          </w:tcPr>
          <w:p w14:paraId="6C587B5B" w14:textId="508D6B4D" w:rsidR="00584E18" w:rsidRPr="00483955" w:rsidRDefault="00584E18" w:rsidP="00A36CE8">
            <w:pPr>
              <w:pStyle w:val="Akapitzlist"/>
              <w:rPr>
                <w:szCs w:val="18"/>
              </w:rPr>
            </w:pPr>
            <w:r w:rsidRPr="00483955">
              <w:rPr>
                <w:szCs w:val="18"/>
              </w:rPr>
              <w:t xml:space="preserve">Po podjęciu wszelkich działań umożliwiających zaspokojenie potrzeb swoich odbiorców na gaz ziemny </w:t>
            </w:r>
            <w:r w:rsidR="00B62176">
              <w:rPr>
                <w:szCs w:val="18"/>
              </w:rPr>
              <w:t xml:space="preserve">podmiot zobowiązany </w:t>
            </w:r>
            <w:r>
              <w:rPr>
                <w:szCs w:val="18"/>
              </w:rPr>
              <w:t xml:space="preserve">oraz </w:t>
            </w:r>
            <w:r w:rsidR="000A1AB1">
              <w:rPr>
                <w:szCs w:val="18"/>
              </w:rPr>
              <w:t>ZUP</w:t>
            </w:r>
            <w:r w:rsidRPr="00483955">
              <w:rPr>
                <w:szCs w:val="18"/>
              </w:rPr>
              <w:t xml:space="preserve"> zawiadamia</w:t>
            </w:r>
            <w:r>
              <w:rPr>
                <w:szCs w:val="18"/>
              </w:rPr>
              <w:t>ją</w:t>
            </w:r>
            <w:r w:rsidRPr="00483955">
              <w:rPr>
                <w:szCs w:val="18"/>
              </w:rPr>
              <w:t>:</w:t>
            </w:r>
          </w:p>
          <w:p w14:paraId="19813365" w14:textId="0048E476" w:rsidR="00584E18" w:rsidRPr="00E64A4F" w:rsidRDefault="00584E18" w:rsidP="00CC048C">
            <w:pPr>
              <w:pStyle w:val="Akapitzlist"/>
              <w:numPr>
                <w:ilvl w:val="0"/>
                <w:numId w:val="16"/>
              </w:numPr>
              <w:rPr>
                <w:szCs w:val="18"/>
              </w:rPr>
            </w:pPr>
            <w:r w:rsidRPr="00E64A4F">
              <w:rPr>
                <w:szCs w:val="18"/>
              </w:rPr>
              <w:t>OSP OSD o wystąpieniu zdarzeń, o których mowa w art. 49 ust. 1 Ustawy</w:t>
            </w:r>
            <w:r w:rsidR="00F47C28">
              <w:rPr>
                <w:szCs w:val="18"/>
              </w:rPr>
              <w:t xml:space="preserve"> o zapasach </w:t>
            </w:r>
            <w:r w:rsidRPr="00E64A4F">
              <w:rPr>
                <w:szCs w:val="18"/>
              </w:rPr>
              <w:t>i podjętych działaniach w celu zapewnienia bezpieczeństwa dostaw gazu ziemnego swoim odbiorcom lub o braku możliwości zapewnienia tego bezpieczeństwa w terminie umożliwiających podjęcie działań mających na celu zapewnienie bezpieczeństwa dostarczania gazu ziemnego odbiorcom i prawidłowe funkcjonowanie systemu gazowego;</w:t>
            </w:r>
          </w:p>
          <w:p w14:paraId="0C9D5B5F" w14:textId="02CEE48B" w:rsidR="00584E18" w:rsidRPr="00E64A4F" w:rsidRDefault="00584E18" w:rsidP="00CC048C">
            <w:pPr>
              <w:pStyle w:val="Akapitzlist"/>
              <w:numPr>
                <w:ilvl w:val="0"/>
                <w:numId w:val="16"/>
              </w:numPr>
              <w:rPr>
                <w:szCs w:val="18"/>
              </w:rPr>
            </w:pPr>
            <w:r w:rsidRPr="00E64A4F">
              <w:rPr>
                <w:szCs w:val="18"/>
              </w:rPr>
              <w:t>Niezwłocznie odbiorców, z którymi zawarto umowy sprzedaży gazu ziemnego, za pośrednictwem ogólnopolskich środków masowego przekazu, o wystąpieniu zdarzeń, o których mowa w art. 49 ust. 1 Ustawy</w:t>
            </w:r>
            <w:r w:rsidR="00670685">
              <w:rPr>
                <w:szCs w:val="18"/>
              </w:rPr>
              <w:t xml:space="preserve"> o zapasach</w:t>
            </w:r>
            <w:r w:rsidRPr="00E64A4F">
              <w:rPr>
                <w:szCs w:val="18"/>
              </w:rPr>
              <w:t xml:space="preserve"> i ich wpływie na bezpieczeństwo dostaw gazu ziemnego oraz o podjętych działaniach w celu likwidacji skutków tych zdarzeń.</w:t>
            </w:r>
          </w:p>
          <w:p w14:paraId="0BC70F66" w14:textId="3459C4FC" w:rsidR="00584E18" w:rsidRDefault="00584E18" w:rsidP="00A36CE8">
            <w:pPr>
              <w:pStyle w:val="Akapitzlist"/>
              <w:rPr>
                <w:szCs w:val="18"/>
              </w:rPr>
            </w:pPr>
            <w:r w:rsidRPr="00483955">
              <w:rPr>
                <w:szCs w:val="18"/>
              </w:rPr>
              <w:t xml:space="preserve">Jeżeli w ocenie </w:t>
            </w:r>
            <w:r w:rsidR="005562FB">
              <w:rPr>
                <w:szCs w:val="18"/>
              </w:rPr>
              <w:t xml:space="preserve">ZUP lub podmiotu zobowiązanego </w:t>
            </w:r>
            <w:r w:rsidRPr="00483955">
              <w:rPr>
                <w:szCs w:val="18"/>
              </w:rPr>
              <w:t xml:space="preserve">zachodzi konieczność uruchomienia zapasów obowiązkowych gazu ziemnego, o których mowa w art. </w:t>
            </w:r>
            <w:r>
              <w:rPr>
                <w:szCs w:val="18"/>
              </w:rPr>
              <w:t xml:space="preserve">26 </w:t>
            </w:r>
            <w:r w:rsidRPr="00483955">
              <w:rPr>
                <w:szCs w:val="18"/>
              </w:rPr>
              <w:t>ust. 1 Ustawy</w:t>
            </w:r>
            <w:r w:rsidR="00796C1E">
              <w:rPr>
                <w:szCs w:val="18"/>
              </w:rPr>
              <w:t xml:space="preserve"> o zapasach</w:t>
            </w:r>
            <w:r w:rsidRPr="00483955">
              <w:rPr>
                <w:szCs w:val="18"/>
              </w:rPr>
              <w:t>, wnioskuje do OSP o wystąpienie do ministra właściwego do spraw</w:t>
            </w:r>
            <w:r>
              <w:rPr>
                <w:szCs w:val="18"/>
              </w:rPr>
              <w:t xml:space="preserve"> energii </w:t>
            </w:r>
            <w:r w:rsidRPr="00483955">
              <w:rPr>
                <w:szCs w:val="18"/>
              </w:rPr>
              <w:t>o udzielenie zgody na uruchomienie zapasów obowiązkowych gazu ziemnego.</w:t>
            </w:r>
          </w:p>
          <w:p w14:paraId="15155D01" w14:textId="77777777" w:rsidR="00670685" w:rsidRPr="00483955" w:rsidRDefault="00670685" w:rsidP="00A36CE8">
            <w:pPr>
              <w:pStyle w:val="Akapitzlist"/>
              <w:rPr>
                <w:szCs w:val="18"/>
              </w:rPr>
            </w:pPr>
          </w:p>
          <w:p w14:paraId="6EA68542" w14:textId="02986EC7" w:rsidR="00584E18" w:rsidRPr="00483955" w:rsidRDefault="00584E18" w:rsidP="00A36CE8">
            <w:pPr>
              <w:pStyle w:val="Akapitzlist"/>
              <w:rPr>
                <w:szCs w:val="18"/>
              </w:rPr>
            </w:pPr>
            <w:r w:rsidRPr="00483955">
              <w:rPr>
                <w:szCs w:val="18"/>
              </w:rPr>
              <w:t>OSP</w:t>
            </w:r>
            <w:r>
              <w:rPr>
                <w:szCs w:val="18"/>
              </w:rPr>
              <w:t xml:space="preserve"> </w:t>
            </w:r>
            <w:r w:rsidRPr="00483955">
              <w:rPr>
                <w:szCs w:val="18"/>
              </w:rPr>
              <w:t xml:space="preserve">niezwłocznie informuje </w:t>
            </w:r>
            <w:r w:rsidR="005562FB">
              <w:rPr>
                <w:szCs w:val="18"/>
              </w:rPr>
              <w:t xml:space="preserve">ZUP lub podmiot zobowiązany </w:t>
            </w:r>
            <w:r w:rsidRPr="00483955">
              <w:rPr>
                <w:szCs w:val="18"/>
              </w:rPr>
              <w:t>oraz OSM o:</w:t>
            </w:r>
          </w:p>
          <w:p w14:paraId="05532094" w14:textId="15E8EED9" w:rsidR="00584E18" w:rsidRPr="00483955" w:rsidRDefault="00584E18" w:rsidP="00AB2CE3">
            <w:pPr>
              <w:pStyle w:val="Akapitzlist"/>
              <w:numPr>
                <w:ilvl w:val="0"/>
                <w:numId w:val="17"/>
              </w:numPr>
              <w:ind w:left="323" w:hanging="323"/>
              <w:rPr>
                <w:szCs w:val="18"/>
              </w:rPr>
            </w:pPr>
            <w:r w:rsidRPr="00483955">
              <w:rPr>
                <w:szCs w:val="18"/>
              </w:rPr>
              <w:t>Konieczności i terminie uruchomienia zapasów obowiązkowych gazu ziemnego z wyszczególnieniem magazynów oraz ilości</w:t>
            </w:r>
            <w:r w:rsidR="00BE40F6">
              <w:rPr>
                <w:szCs w:val="18"/>
              </w:rPr>
              <w:t>,</w:t>
            </w:r>
          </w:p>
          <w:p w14:paraId="61157AF2" w14:textId="72852F4B" w:rsidR="00584E18" w:rsidRPr="00483955" w:rsidRDefault="00584E18" w:rsidP="00AB2CE3">
            <w:pPr>
              <w:pStyle w:val="Akapitzlist"/>
              <w:numPr>
                <w:ilvl w:val="0"/>
                <w:numId w:val="17"/>
              </w:numPr>
              <w:ind w:left="323" w:hanging="323"/>
              <w:rPr>
                <w:szCs w:val="18"/>
              </w:rPr>
            </w:pPr>
            <w:r w:rsidRPr="00483955">
              <w:rPr>
                <w:szCs w:val="18"/>
              </w:rPr>
              <w:t xml:space="preserve">Wystąpieniu do właściwego ministra do </w:t>
            </w:r>
            <w:r w:rsidR="009526DD" w:rsidRPr="00483955">
              <w:rPr>
                <w:szCs w:val="18"/>
              </w:rPr>
              <w:t xml:space="preserve">spraw </w:t>
            </w:r>
            <w:r w:rsidR="009526DD">
              <w:rPr>
                <w:szCs w:val="18"/>
              </w:rPr>
              <w:t>energii</w:t>
            </w:r>
            <w:r>
              <w:rPr>
                <w:szCs w:val="18"/>
              </w:rPr>
              <w:t xml:space="preserve"> </w:t>
            </w:r>
            <w:r w:rsidRPr="00483955">
              <w:rPr>
                <w:szCs w:val="18"/>
              </w:rPr>
              <w:t>o zgodę na uruchomienie zapasów z wyszczególnieniem magazynów, ilości oraz terminów</w:t>
            </w:r>
            <w:r w:rsidR="00BE40F6">
              <w:rPr>
                <w:szCs w:val="18"/>
              </w:rPr>
              <w:t>,</w:t>
            </w:r>
          </w:p>
          <w:p w14:paraId="101A8410" w14:textId="5A986506" w:rsidR="00584E18" w:rsidRPr="00483955" w:rsidRDefault="00584E18" w:rsidP="00AB2CE3">
            <w:pPr>
              <w:pStyle w:val="Akapitzlist"/>
              <w:numPr>
                <w:ilvl w:val="0"/>
                <w:numId w:val="17"/>
              </w:numPr>
              <w:ind w:left="323" w:hanging="323"/>
              <w:rPr>
                <w:szCs w:val="18"/>
              </w:rPr>
            </w:pPr>
            <w:r w:rsidRPr="00483955">
              <w:rPr>
                <w:szCs w:val="18"/>
              </w:rPr>
              <w:t xml:space="preserve">Uzyskaniu zgody na uruchomienie zapasów </w:t>
            </w:r>
            <w:r w:rsidR="009526DD" w:rsidRPr="00483955">
              <w:rPr>
                <w:szCs w:val="18"/>
              </w:rPr>
              <w:t>obowiązkowych z</w:t>
            </w:r>
            <w:r w:rsidRPr="00483955">
              <w:rPr>
                <w:szCs w:val="18"/>
              </w:rPr>
              <w:t xml:space="preserve"> wyszczególnieniem magazynów, ilości oraz terminów</w:t>
            </w:r>
            <w:r w:rsidR="00BE40F6">
              <w:rPr>
                <w:szCs w:val="18"/>
              </w:rPr>
              <w:t>,</w:t>
            </w:r>
          </w:p>
          <w:p w14:paraId="4D951B5D" w14:textId="77777777" w:rsidR="00584E18" w:rsidRDefault="00584E18" w:rsidP="00670685">
            <w:pPr>
              <w:pStyle w:val="Akapitzlist"/>
              <w:numPr>
                <w:ilvl w:val="0"/>
                <w:numId w:val="17"/>
              </w:numPr>
              <w:ind w:left="323" w:hanging="323"/>
              <w:rPr>
                <w:szCs w:val="18"/>
              </w:rPr>
            </w:pPr>
            <w:r w:rsidRPr="00483955">
              <w:rPr>
                <w:szCs w:val="18"/>
              </w:rPr>
              <w:t xml:space="preserve">Uruchomieniu zapasów obowiązkowych na rzecz </w:t>
            </w:r>
            <w:r w:rsidR="00796C1E">
              <w:rPr>
                <w:szCs w:val="18"/>
              </w:rPr>
              <w:t>ZUP lub podmiotu zobowiązanego</w:t>
            </w:r>
            <w:r w:rsidRPr="00483955">
              <w:rPr>
                <w:szCs w:val="18"/>
              </w:rPr>
              <w:t>, zgodnie z art. 52 ust. 1 i 2 Ustawy</w:t>
            </w:r>
            <w:r w:rsidR="00796C1E">
              <w:rPr>
                <w:szCs w:val="18"/>
              </w:rPr>
              <w:t xml:space="preserve"> o zapasach</w:t>
            </w:r>
            <w:r w:rsidRPr="00483955">
              <w:rPr>
                <w:szCs w:val="18"/>
              </w:rPr>
              <w:t xml:space="preserve">. </w:t>
            </w:r>
          </w:p>
          <w:p w14:paraId="61A0E0C7" w14:textId="33BF510C" w:rsidR="00670685" w:rsidRPr="00483955" w:rsidRDefault="00670685" w:rsidP="00670685">
            <w:pPr>
              <w:pStyle w:val="Akapitzlist"/>
              <w:ind w:left="323"/>
              <w:rPr>
                <w:szCs w:val="18"/>
              </w:rPr>
            </w:pPr>
          </w:p>
        </w:tc>
        <w:tc>
          <w:tcPr>
            <w:tcW w:w="635" w:type="pct"/>
          </w:tcPr>
          <w:p w14:paraId="43EF6CF6" w14:textId="77777777" w:rsidR="00584E18" w:rsidRPr="00483955" w:rsidRDefault="00584E18" w:rsidP="00A36CE8">
            <w:pPr>
              <w:pStyle w:val="Akapitzlist"/>
              <w:rPr>
                <w:szCs w:val="18"/>
              </w:rPr>
            </w:pPr>
          </w:p>
        </w:tc>
      </w:tr>
      <w:tr w:rsidR="00584E18" w:rsidRPr="00483955" w14:paraId="5F76EBB1" w14:textId="5333E3D8" w:rsidTr="00921754">
        <w:trPr>
          <w:jc w:val="center"/>
        </w:trPr>
        <w:tc>
          <w:tcPr>
            <w:tcW w:w="1266" w:type="pct"/>
          </w:tcPr>
          <w:p w14:paraId="5DC42F43" w14:textId="129784B1" w:rsidR="00584E18" w:rsidRPr="00483955" w:rsidRDefault="00584E18" w:rsidP="00CC048C">
            <w:pPr>
              <w:pStyle w:val="Akapitzlist"/>
              <w:numPr>
                <w:ilvl w:val="0"/>
                <w:numId w:val="13"/>
              </w:numPr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Obowiązkowy odbiór z instalacji magazynowych</w:t>
            </w:r>
            <w:r>
              <w:rPr>
                <w:szCs w:val="18"/>
              </w:rPr>
              <w:t xml:space="preserve"> (zapasy obowiązkowe gazu ziemnego)</w:t>
            </w:r>
          </w:p>
        </w:tc>
        <w:tc>
          <w:tcPr>
            <w:tcW w:w="3099" w:type="pct"/>
            <w:vMerge/>
          </w:tcPr>
          <w:p w14:paraId="4A55FA7A" w14:textId="77777777" w:rsidR="00584E18" w:rsidRPr="00483955" w:rsidRDefault="00584E18" w:rsidP="00A556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08B8C471" w14:textId="77777777" w:rsidR="00584E18" w:rsidRPr="00483955" w:rsidRDefault="00584E18" w:rsidP="00A556A7">
            <w:pPr>
              <w:jc w:val="both"/>
              <w:rPr>
                <w:sz w:val="18"/>
                <w:szCs w:val="18"/>
              </w:rPr>
            </w:pPr>
          </w:p>
        </w:tc>
      </w:tr>
      <w:tr w:rsidR="00584E18" w:rsidRPr="00483955" w14:paraId="714F1279" w14:textId="3354D6E7" w:rsidTr="00921754">
        <w:trPr>
          <w:jc w:val="center"/>
        </w:trPr>
        <w:tc>
          <w:tcPr>
            <w:tcW w:w="1266" w:type="pct"/>
          </w:tcPr>
          <w:p w14:paraId="703CC92D" w14:textId="74C739CA" w:rsidR="00584E18" w:rsidRPr="00483955" w:rsidRDefault="00584E18" w:rsidP="00C85B83">
            <w:pPr>
              <w:pStyle w:val="Akapitzlist"/>
              <w:numPr>
                <w:ilvl w:val="0"/>
                <w:numId w:val="13"/>
              </w:numPr>
              <w:ind w:left="164" w:hanging="227"/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Obowiązek wykorzystania zapasów paliw alternatywnych (np. zgodnie z dyrektywą Rady 2009/119/WE z dnia 14 września 2009</w:t>
            </w:r>
            <w:r w:rsidR="00124E2A">
              <w:rPr>
                <w:szCs w:val="18"/>
              </w:rPr>
              <w:t xml:space="preserve"> </w:t>
            </w:r>
            <w:r w:rsidRPr="00483955">
              <w:rPr>
                <w:szCs w:val="18"/>
              </w:rPr>
              <w:t xml:space="preserve">r. nakładającą na państwa członkowskie obowiązek utrzymywania minimalnych zapasów </w:t>
            </w:r>
            <w:r w:rsidRPr="00483955">
              <w:rPr>
                <w:szCs w:val="18"/>
              </w:rPr>
              <w:lastRenderedPageBreak/>
              <w:t>ropy naftowej lub produktów ropopochodnych</w:t>
            </w:r>
            <w:r w:rsidR="00670685">
              <w:rPr>
                <w:szCs w:val="18"/>
              </w:rPr>
              <w:t>)</w:t>
            </w:r>
          </w:p>
        </w:tc>
        <w:tc>
          <w:tcPr>
            <w:tcW w:w="3099" w:type="pct"/>
          </w:tcPr>
          <w:p w14:paraId="575BA17D" w14:textId="3642208A" w:rsidR="00584E18" w:rsidRPr="00483955" w:rsidRDefault="00584E18" w:rsidP="004E1D35">
            <w:pPr>
              <w:pStyle w:val="Akapitzlist"/>
              <w:rPr>
                <w:szCs w:val="18"/>
              </w:rPr>
            </w:pPr>
          </w:p>
        </w:tc>
        <w:tc>
          <w:tcPr>
            <w:tcW w:w="635" w:type="pct"/>
          </w:tcPr>
          <w:p w14:paraId="58C52A11" w14:textId="77777777" w:rsidR="00584E18" w:rsidRPr="00483955" w:rsidRDefault="00584E18" w:rsidP="004E1D35">
            <w:pPr>
              <w:pStyle w:val="Akapitzlist"/>
              <w:rPr>
                <w:szCs w:val="18"/>
              </w:rPr>
            </w:pPr>
          </w:p>
        </w:tc>
      </w:tr>
      <w:tr w:rsidR="00584E18" w:rsidRPr="00483955" w14:paraId="67A26754" w14:textId="1EEBB953" w:rsidTr="00921754">
        <w:trPr>
          <w:jc w:val="center"/>
        </w:trPr>
        <w:tc>
          <w:tcPr>
            <w:tcW w:w="1266" w:type="pct"/>
          </w:tcPr>
          <w:p w14:paraId="0184928A" w14:textId="2BE2B38B" w:rsidR="00584E18" w:rsidRPr="00483955" w:rsidRDefault="00584E18" w:rsidP="00C85B83">
            <w:pPr>
              <w:pStyle w:val="Akapitzlist"/>
              <w:numPr>
                <w:ilvl w:val="0"/>
                <w:numId w:val="13"/>
              </w:numPr>
              <w:ind w:left="164" w:hanging="164"/>
              <w:rPr>
                <w:szCs w:val="18"/>
              </w:rPr>
            </w:pPr>
            <w:r w:rsidRPr="00483955">
              <w:rPr>
                <w:szCs w:val="18"/>
              </w:rPr>
              <w:t>Obowiąz</w:t>
            </w:r>
            <w:r w:rsidR="00A2034E">
              <w:rPr>
                <w:szCs w:val="18"/>
              </w:rPr>
              <w:t xml:space="preserve">kowe </w:t>
            </w:r>
            <w:r w:rsidRPr="00483955">
              <w:rPr>
                <w:szCs w:val="18"/>
              </w:rPr>
              <w:t>wykorzystani</w:t>
            </w:r>
            <w:r w:rsidR="00A2034E">
              <w:rPr>
                <w:szCs w:val="18"/>
              </w:rPr>
              <w:t xml:space="preserve">e </w:t>
            </w:r>
            <w:r w:rsidRPr="00483955">
              <w:rPr>
                <w:szCs w:val="18"/>
              </w:rPr>
              <w:t>energii elektrycznej wytwarzanej ze źródeł innych niż gaz</w:t>
            </w:r>
          </w:p>
        </w:tc>
        <w:tc>
          <w:tcPr>
            <w:tcW w:w="3099" w:type="pct"/>
          </w:tcPr>
          <w:p w14:paraId="55F65EDF" w14:textId="0D87DA6E" w:rsidR="00584E18" w:rsidRPr="00483955" w:rsidRDefault="00584E18" w:rsidP="00856ED0">
            <w:pPr>
              <w:pStyle w:val="Akapitzlist"/>
              <w:rPr>
                <w:szCs w:val="18"/>
              </w:rPr>
            </w:pPr>
          </w:p>
        </w:tc>
        <w:tc>
          <w:tcPr>
            <w:tcW w:w="635" w:type="pct"/>
          </w:tcPr>
          <w:p w14:paraId="54317540" w14:textId="77777777" w:rsidR="00584E18" w:rsidRPr="00483955" w:rsidRDefault="00584E18" w:rsidP="00856ED0">
            <w:pPr>
              <w:pStyle w:val="Akapitzlist"/>
              <w:rPr>
                <w:szCs w:val="18"/>
              </w:rPr>
            </w:pPr>
          </w:p>
        </w:tc>
      </w:tr>
      <w:tr w:rsidR="00584E18" w:rsidRPr="00483955" w14:paraId="29114CF6" w14:textId="086BF8C3" w:rsidTr="00921754">
        <w:trPr>
          <w:jc w:val="center"/>
        </w:trPr>
        <w:tc>
          <w:tcPr>
            <w:tcW w:w="1266" w:type="pct"/>
          </w:tcPr>
          <w:p w14:paraId="5C62F068" w14:textId="748AC8CF" w:rsidR="00584E18" w:rsidRPr="00483955" w:rsidRDefault="00584E18" w:rsidP="00C85B83">
            <w:pPr>
              <w:pStyle w:val="Akapitzlist"/>
              <w:numPr>
                <w:ilvl w:val="0"/>
                <w:numId w:val="13"/>
              </w:numPr>
              <w:ind w:left="164" w:hanging="164"/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Obowiąz</w:t>
            </w:r>
            <w:r w:rsidR="00A2034E">
              <w:rPr>
                <w:szCs w:val="18"/>
              </w:rPr>
              <w:t xml:space="preserve">kowe </w:t>
            </w:r>
            <w:r w:rsidRPr="00483955">
              <w:rPr>
                <w:szCs w:val="18"/>
              </w:rPr>
              <w:t>zwiększeni</w:t>
            </w:r>
            <w:r w:rsidR="00BE6B24">
              <w:rPr>
                <w:szCs w:val="18"/>
              </w:rPr>
              <w:t xml:space="preserve">e </w:t>
            </w:r>
            <w:r w:rsidRPr="00483955">
              <w:rPr>
                <w:szCs w:val="18"/>
              </w:rPr>
              <w:t>poziomu produkcji</w:t>
            </w:r>
            <w:r>
              <w:rPr>
                <w:szCs w:val="18"/>
              </w:rPr>
              <w:t xml:space="preserve"> gazu</w:t>
            </w:r>
          </w:p>
        </w:tc>
        <w:tc>
          <w:tcPr>
            <w:tcW w:w="3099" w:type="pct"/>
          </w:tcPr>
          <w:p w14:paraId="3AB767AE" w14:textId="03BBCC89" w:rsidR="00584E18" w:rsidRPr="004E1D35" w:rsidRDefault="00584E18" w:rsidP="00AB2CE3">
            <w:pPr>
              <w:pStyle w:val="Akapitzlist"/>
              <w:numPr>
                <w:ilvl w:val="0"/>
                <w:numId w:val="14"/>
              </w:numPr>
              <w:ind w:left="323" w:hanging="323"/>
              <w:rPr>
                <w:szCs w:val="18"/>
              </w:rPr>
            </w:pPr>
            <w:r w:rsidRPr="00483955">
              <w:rPr>
                <w:szCs w:val="18"/>
              </w:rPr>
              <w:t xml:space="preserve">W przypadku konieczności zwiększenia dostaw gazu ziemnego do systemu przesyłowego, </w:t>
            </w:r>
            <w:r>
              <w:rPr>
                <w:szCs w:val="18"/>
              </w:rPr>
              <w:t xml:space="preserve">ZUP lub podmiot zobowiązany </w:t>
            </w:r>
            <w:r w:rsidRPr="00483955">
              <w:rPr>
                <w:szCs w:val="18"/>
              </w:rPr>
              <w:t>podejmuje działania zmierzające do obowiązkowego zwiększenia produkcji</w:t>
            </w:r>
            <w:r w:rsidR="00B62176">
              <w:rPr>
                <w:szCs w:val="18"/>
              </w:rPr>
              <w:t>.</w:t>
            </w:r>
          </w:p>
        </w:tc>
        <w:tc>
          <w:tcPr>
            <w:tcW w:w="635" w:type="pct"/>
          </w:tcPr>
          <w:p w14:paraId="31330285" w14:textId="77777777" w:rsidR="00584E18" w:rsidRPr="00483955" w:rsidRDefault="00584E18" w:rsidP="005B5126">
            <w:pPr>
              <w:pStyle w:val="Akapitzlist"/>
              <w:ind w:left="720"/>
              <w:rPr>
                <w:szCs w:val="18"/>
              </w:rPr>
            </w:pPr>
          </w:p>
        </w:tc>
      </w:tr>
    </w:tbl>
    <w:p w14:paraId="17C24F8A" w14:textId="77777777" w:rsidR="004D5CD6" w:rsidRPr="00826303" w:rsidRDefault="004D5CD6" w:rsidP="00CC048C">
      <w:pPr>
        <w:pStyle w:val="Nagwek7"/>
        <w:numPr>
          <w:ilvl w:val="0"/>
          <w:numId w:val="12"/>
        </w:numPr>
        <w:spacing w:before="240" w:after="240"/>
        <w:ind w:left="714" w:hanging="357"/>
      </w:pPr>
      <w:r w:rsidRPr="00826303">
        <w:t xml:space="preserve">Środki dotyczące strony popytowej: </w:t>
      </w:r>
    </w:p>
    <w:p w14:paraId="14721044" w14:textId="77777777" w:rsidR="004D5CD6" w:rsidRPr="00826303" w:rsidRDefault="004864B7" w:rsidP="00856ED0">
      <w:r w:rsidRPr="00826303">
        <w:t>Obowiązkowe</w:t>
      </w:r>
      <w:r w:rsidR="004D5CD6" w:rsidRPr="00826303">
        <w:t xml:space="preserve"> zmniejszania popytu, w tym:</w:t>
      </w:r>
    </w:p>
    <w:tbl>
      <w:tblPr>
        <w:tblStyle w:val="Tabela-Siatka"/>
        <w:tblW w:w="5224" w:type="pct"/>
        <w:jc w:val="center"/>
        <w:tblLook w:val="04A0" w:firstRow="1" w:lastRow="0" w:firstColumn="1" w:lastColumn="0" w:noHBand="0" w:noVBand="1"/>
      </w:tblPr>
      <w:tblGrid>
        <w:gridCol w:w="2407"/>
        <w:gridCol w:w="6377"/>
        <w:gridCol w:w="1275"/>
      </w:tblGrid>
      <w:tr w:rsidR="00584E18" w:rsidRPr="00483955" w14:paraId="69CB56F6" w14:textId="0075DB84" w:rsidTr="00D0480D">
        <w:trPr>
          <w:trHeight w:val="822"/>
          <w:jc w:val="center"/>
        </w:trPr>
        <w:tc>
          <w:tcPr>
            <w:tcW w:w="1196" w:type="pct"/>
            <w:vAlign w:val="center"/>
          </w:tcPr>
          <w:p w14:paraId="76E6BDD7" w14:textId="77777777" w:rsidR="00584E18" w:rsidRPr="00921754" w:rsidRDefault="00584E18" w:rsidP="004839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1754">
              <w:rPr>
                <w:sz w:val="18"/>
                <w:szCs w:val="18"/>
              </w:rPr>
              <w:t>Kategoria</w:t>
            </w:r>
          </w:p>
        </w:tc>
        <w:tc>
          <w:tcPr>
            <w:tcW w:w="3170" w:type="pct"/>
            <w:vAlign w:val="center"/>
          </w:tcPr>
          <w:p w14:paraId="2670BB9F" w14:textId="4DDA999A" w:rsidR="005B5126" w:rsidRPr="00921754" w:rsidRDefault="00584E18" w:rsidP="005B5126">
            <w:pPr>
              <w:pStyle w:val="Akapitzlist"/>
              <w:jc w:val="center"/>
              <w:rPr>
                <w:szCs w:val="18"/>
              </w:rPr>
            </w:pPr>
            <w:r w:rsidRPr="00921754">
              <w:rPr>
                <w:szCs w:val="18"/>
              </w:rPr>
              <w:t>Sposób wprowadzenia dostępnych środków</w:t>
            </w:r>
          </w:p>
          <w:p w14:paraId="0D0DE9B4" w14:textId="1014FC78" w:rsidR="00584E18" w:rsidRPr="00D0480D" w:rsidRDefault="00584E18" w:rsidP="00B62176">
            <w:pPr>
              <w:pStyle w:val="Akapitzlist"/>
              <w:jc w:val="center"/>
              <w:rPr>
                <w:color w:val="0070C0"/>
                <w:szCs w:val="18"/>
              </w:rPr>
            </w:pPr>
            <w:r w:rsidRPr="00AB2CE3">
              <w:rPr>
                <w:color w:val="0070C0"/>
                <w:szCs w:val="18"/>
              </w:rPr>
              <w:t xml:space="preserve">Do uzupełnienia o informację dot. dostępności </w:t>
            </w:r>
            <w:r w:rsidR="00AB2CE3" w:rsidRPr="00AB2CE3">
              <w:rPr>
                <w:color w:val="0070C0"/>
                <w:szCs w:val="18"/>
              </w:rPr>
              <w:t>środka</w:t>
            </w:r>
          </w:p>
        </w:tc>
        <w:tc>
          <w:tcPr>
            <w:tcW w:w="634" w:type="pct"/>
          </w:tcPr>
          <w:p w14:paraId="6647C8A5" w14:textId="77777777" w:rsidR="008024C0" w:rsidRPr="00921754" w:rsidRDefault="008024C0" w:rsidP="005B5126">
            <w:pPr>
              <w:pStyle w:val="Akapitzlist"/>
              <w:jc w:val="center"/>
              <w:rPr>
                <w:szCs w:val="18"/>
              </w:rPr>
            </w:pPr>
            <w:r w:rsidRPr="00921754">
              <w:rPr>
                <w:szCs w:val="18"/>
              </w:rPr>
              <w:t>Dostępność środka</w:t>
            </w:r>
          </w:p>
          <w:p w14:paraId="4472F500" w14:textId="6AE9455E" w:rsidR="00584E18" w:rsidRPr="00921754" w:rsidRDefault="008024C0" w:rsidP="005B5126">
            <w:pPr>
              <w:pStyle w:val="Akapitzlist"/>
              <w:jc w:val="center"/>
              <w:rPr>
                <w:szCs w:val="18"/>
              </w:rPr>
            </w:pPr>
            <w:r w:rsidRPr="00921754">
              <w:rPr>
                <w:szCs w:val="18"/>
              </w:rPr>
              <w:t>TAK/NIE</w:t>
            </w:r>
          </w:p>
        </w:tc>
      </w:tr>
      <w:tr w:rsidR="00584E18" w:rsidRPr="00483955" w14:paraId="015A92BA" w14:textId="092DD4A0" w:rsidTr="00810CD7">
        <w:trPr>
          <w:trHeight w:val="487"/>
          <w:jc w:val="center"/>
        </w:trPr>
        <w:tc>
          <w:tcPr>
            <w:tcW w:w="1196" w:type="pct"/>
          </w:tcPr>
          <w:p w14:paraId="38D3FA87" w14:textId="336CEAD9" w:rsidR="00584E18" w:rsidRPr="00483955" w:rsidRDefault="00584E18" w:rsidP="00CC048C">
            <w:pPr>
              <w:pStyle w:val="Akapitzlist"/>
              <w:numPr>
                <w:ilvl w:val="0"/>
                <w:numId w:val="4"/>
              </w:numPr>
              <w:ind w:left="458"/>
              <w:jc w:val="left"/>
              <w:rPr>
                <w:szCs w:val="18"/>
              </w:rPr>
            </w:pPr>
            <w:r>
              <w:rPr>
                <w:szCs w:val="18"/>
              </w:rPr>
              <w:t>Obowiązkowe przestawienie się na inne rodzaje paliwa</w:t>
            </w:r>
          </w:p>
        </w:tc>
        <w:tc>
          <w:tcPr>
            <w:tcW w:w="3170" w:type="pct"/>
          </w:tcPr>
          <w:p w14:paraId="373EDABF" w14:textId="69FCC3C6" w:rsidR="00584E18" w:rsidRPr="00483955" w:rsidRDefault="00584E18" w:rsidP="0048395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14:paraId="3E42B1FA" w14:textId="77777777" w:rsidR="00584E18" w:rsidRPr="00483955" w:rsidRDefault="00584E18" w:rsidP="00AB2C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4E18" w:rsidRPr="00483955" w14:paraId="550B7CEE" w14:textId="1FB291F9" w:rsidTr="00810CD7">
        <w:trPr>
          <w:trHeight w:val="487"/>
          <w:jc w:val="center"/>
        </w:trPr>
        <w:tc>
          <w:tcPr>
            <w:tcW w:w="1196" w:type="pct"/>
          </w:tcPr>
          <w:p w14:paraId="480A6740" w14:textId="5227EA2D" w:rsidR="00BE6B24" w:rsidRDefault="00584E18" w:rsidP="00CC048C">
            <w:pPr>
              <w:pStyle w:val="Akapitzlist"/>
              <w:numPr>
                <w:ilvl w:val="0"/>
                <w:numId w:val="4"/>
              </w:numPr>
              <w:ind w:left="458"/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Obowiąz</w:t>
            </w:r>
            <w:r w:rsidR="00BE6B24">
              <w:rPr>
                <w:szCs w:val="18"/>
              </w:rPr>
              <w:t>kowe</w:t>
            </w:r>
            <w:r w:rsidRPr="00483955">
              <w:rPr>
                <w:szCs w:val="18"/>
              </w:rPr>
              <w:t xml:space="preserve"> stosowani</w:t>
            </w:r>
            <w:r w:rsidR="00BE6B24">
              <w:rPr>
                <w:szCs w:val="18"/>
              </w:rPr>
              <w:t>e</w:t>
            </w:r>
            <w:r w:rsidRPr="00483955">
              <w:rPr>
                <w:szCs w:val="18"/>
              </w:rPr>
              <w:t xml:space="preserve"> umów na usługi przerywane, </w:t>
            </w:r>
            <w:r w:rsidR="00BE6B24">
              <w:rPr>
                <w:szCs w:val="18"/>
              </w:rPr>
              <w:t xml:space="preserve">w przypadku, gdy </w:t>
            </w:r>
          </w:p>
          <w:p w14:paraId="0ABBAC09" w14:textId="6E838ECE" w:rsidR="00584E18" w:rsidRPr="00483955" w:rsidRDefault="00584E18" w:rsidP="00BE6B24">
            <w:pPr>
              <w:pStyle w:val="Akapitzlist"/>
              <w:ind w:left="458"/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nie stosuje się ich w pełni w ramach środków rynkowych</w:t>
            </w:r>
          </w:p>
        </w:tc>
        <w:tc>
          <w:tcPr>
            <w:tcW w:w="3170" w:type="pct"/>
          </w:tcPr>
          <w:p w14:paraId="5CC38D2A" w14:textId="01F6CAEB" w:rsidR="00584E18" w:rsidRPr="00483955" w:rsidRDefault="00584E18" w:rsidP="0048395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14:paraId="2096C23E" w14:textId="77777777" w:rsidR="00584E18" w:rsidRPr="00483955" w:rsidRDefault="00584E18" w:rsidP="00AB2CE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4E18" w:rsidRPr="00483955" w14:paraId="2427453A" w14:textId="52A6949F" w:rsidTr="00810CD7">
        <w:trPr>
          <w:trHeight w:val="487"/>
          <w:jc w:val="center"/>
        </w:trPr>
        <w:tc>
          <w:tcPr>
            <w:tcW w:w="1196" w:type="pct"/>
          </w:tcPr>
          <w:p w14:paraId="34C49193" w14:textId="687C1960" w:rsidR="00584E18" w:rsidRPr="00483955" w:rsidRDefault="00584E18" w:rsidP="00CC048C">
            <w:pPr>
              <w:pStyle w:val="Akapitzlist"/>
              <w:numPr>
                <w:ilvl w:val="0"/>
                <w:numId w:val="4"/>
              </w:numPr>
              <w:ind w:left="458"/>
              <w:jc w:val="left"/>
              <w:rPr>
                <w:szCs w:val="18"/>
              </w:rPr>
            </w:pPr>
            <w:r w:rsidRPr="00483955">
              <w:rPr>
                <w:szCs w:val="18"/>
              </w:rPr>
              <w:t>Obowiązkowe zmniejszani</w:t>
            </w:r>
            <w:r w:rsidR="00BE6B24">
              <w:rPr>
                <w:szCs w:val="18"/>
              </w:rPr>
              <w:t>e</w:t>
            </w:r>
            <w:r w:rsidRPr="00483955">
              <w:rPr>
                <w:szCs w:val="18"/>
              </w:rPr>
              <w:t xml:space="preserve"> obciążenia</w:t>
            </w:r>
            <w:r>
              <w:rPr>
                <w:szCs w:val="18"/>
              </w:rPr>
              <w:t xml:space="preserve"> (plan wprowadzania ograniczeń w poborze gazu ziemnego)</w:t>
            </w:r>
          </w:p>
        </w:tc>
        <w:tc>
          <w:tcPr>
            <w:tcW w:w="3170" w:type="pct"/>
            <w:shd w:val="clear" w:color="auto" w:fill="FFFFFF" w:themeFill="background1"/>
          </w:tcPr>
          <w:p w14:paraId="5B63F127" w14:textId="1B721430" w:rsidR="00584E18" w:rsidRPr="005B5126" w:rsidRDefault="00434DEC" w:rsidP="00AB2CE3">
            <w:pPr>
              <w:pStyle w:val="Akapitzlist"/>
              <w:numPr>
                <w:ilvl w:val="0"/>
                <w:numId w:val="5"/>
              </w:numPr>
              <w:tabs>
                <w:tab w:val="left" w:pos="316"/>
              </w:tabs>
              <w:ind w:left="316" w:hanging="316"/>
              <w:rPr>
                <w:szCs w:val="18"/>
              </w:rPr>
            </w:pPr>
            <w:r>
              <w:rPr>
                <w:szCs w:val="18"/>
              </w:rPr>
              <w:t>W przypadku konieczności wprowadzenia ograniczeń w poborze gazu ziemnego tryb postępowania zgodny z Ustawą o zapasach i IRiESP</w:t>
            </w:r>
          </w:p>
        </w:tc>
        <w:tc>
          <w:tcPr>
            <w:tcW w:w="634" w:type="pct"/>
          </w:tcPr>
          <w:p w14:paraId="5BA07845" w14:textId="77777777" w:rsidR="00584E18" w:rsidRPr="00483955" w:rsidRDefault="00584E18" w:rsidP="00AB2CE3">
            <w:pPr>
              <w:tabs>
                <w:tab w:val="left" w:pos="142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90BBD74" w14:textId="77777777" w:rsidR="005B5126" w:rsidRDefault="00784AC7" w:rsidP="005B5126">
      <w:pPr>
        <w:pStyle w:val="Nagwek1"/>
        <w:numPr>
          <w:ilvl w:val="0"/>
          <w:numId w:val="1"/>
        </w:numPr>
        <w:jc w:val="both"/>
        <w:rPr>
          <w:szCs w:val="20"/>
        </w:rPr>
      </w:pPr>
      <w:bookmarkStart w:id="24" w:name="_Ref345068158"/>
      <w:bookmarkStart w:id="25" w:name="_Toc345314767"/>
      <w:bookmarkStart w:id="26" w:name="_Toc360981363"/>
      <w:bookmarkStart w:id="27" w:name="_Toc509489499"/>
      <w:r w:rsidRPr="005A3EEF">
        <w:rPr>
          <w:szCs w:val="20"/>
        </w:rPr>
        <w:t>Zasady współpracy</w:t>
      </w:r>
      <w:bookmarkEnd w:id="24"/>
      <w:bookmarkEnd w:id="25"/>
      <w:r w:rsidRPr="005A3EEF">
        <w:rPr>
          <w:szCs w:val="20"/>
        </w:rPr>
        <w:t xml:space="preserve"> z odbiorcami gazu ziemnego, innymi użytkownikami systemu, współpracującymi operatorami (w tym odbiorcami końcowymi)</w:t>
      </w:r>
      <w:bookmarkEnd w:id="26"/>
      <w:bookmarkEnd w:id="27"/>
    </w:p>
    <w:p w14:paraId="361D0D9F" w14:textId="11673F32" w:rsidR="005B5126" w:rsidRPr="005B5126" w:rsidRDefault="005B5126" w:rsidP="00AB7ABE">
      <w:pPr>
        <w:jc w:val="both"/>
        <w:rPr>
          <w:b/>
          <w:szCs w:val="20"/>
        </w:rPr>
      </w:pPr>
      <w:r w:rsidRPr="005B5126">
        <w:rPr>
          <w:szCs w:val="20"/>
        </w:rPr>
        <w:t>Zasady współpracy z odbiorcami gazu ziemnego, innymi użytkownikami systemu, współpracującymi operatorami (w tym odbiorcami końcowymi)</w:t>
      </w:r>
      <w:r>
        <w:rPr>
          <w:szCs w:val="20"/>
        </w:rPr>
        <w:t xml:space="preserve"> </w:t>
      </w:r>
      <w:r w:rsidR="00B443FF">
        <w:rPr>
          <w:szCs w:val="20"/>
        </w:rPr>
        <w:t>określają</w:t>
      </w:r>
      <w:r>
        <w:rPr>
          <w:szCs w:val="20"/>
        </w:rPr>
        <w:t xml:space="preserve"> </w:t>
      </w:r>
      <w:r w:rsidR="006537CB">
        <w:rPr>
          <w:szCs w:val="20"/>
        </w:rPr>
        <w:t>zapis</w:t>
      </w:r>
      <w:r w:rsidR="00B443FF">
        <w:rPr>
          <w:szCs w:val="20"/>
        </w:rPr>
        <w:t xml:space="preserve">y </w:t>
      </w:r>
      <w:r w:rsidR="006537CB">
        <w:rPr>
          <w:szCs w:val="20"/>
        </w:rPr>
        <w:t>zawart</w:t>
      </w:r>
      <w:r w:rsidR="00B443FF">
        <w:rPr>
          <w:szCs w:val="20"/>
        </w:rPr>
        <w:t>e</w:t>
      </w:r>
      <w:r w:rsidR="006537CB">
        <w:rPr>
          <w:szCs w:val="20"/>
        </w:rPr>
        <w:t xml:space="preserve"> w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IRiESP</w:t>
      </w:r>
      <w:proofErr w:type="spellEnd"/>
      <w:r>
        <w:rPr>
          <w:szCs w:val="20"/>
        </w:rPr>
        <w:t>.</w:t>
      </w:r>
    </w:p>
    <w:p w14:paraId="7E819EDA" w14:textId="77777777" w:rsidR="00070EC7" w:rsidRPr="004F4A00" w:rsidRDefault="00784AC7" w:rsidP="008005ED">
      <w:pPr>
        <w:pStyle w:val="Nagwek1"/>
        <w:numPr>
          <w:ilvl w:val="0"/>
          <w:numId w:val="1"/>
        </w:numPr>
        <w:rPr>
          <w:szCs w:val="20"/>
        </w:rPr>
      </w:pPr>
      <w:bookmarkStart w:id="28" w:name="_Ref345068153"/>
      <w:bookmarkStart w:id="29" w:name="_Toc345314768"/>
      <w:bookmarkStart w:id="30" w:name="_Toc360981364"/>
      <w:bookmarkStart w:id="31" w:name="_Toc509489500"/>
      <w:r w:rsidRPr="004F4A00">
        <w:rPr>
          <w:szCs w:val="20"/>
        </w:rPr>
        <w:t xml:space="preserve">Odpowiedzialność za realizację </w:t>
      </w:r>
      <w:r w:rsidR="00942740">
        <w:rPr>
          <w:szCs w:val="20"/>
        </w:rPr>
        <w:t>P</w:t>
      </w:r>
      <w:r w:rsidRPr="004F4A00">
        <w:rPr>
          <w:szCs w:val="20"/>
        </w:rPr>
        <w:t xml:space="preserve">rocedury i uprawnienia związane z realizacją </w:t>
      </w:r>
      <w:r w:rsidR="001739C8">
        <w:rPr>
          <w:szCs w:val="20"/>
        </w:rPr>
        <w:t>P</w:t>
      </w:r>
      <w:r w:rsidRPr="004F4A00">
        <w:rPr>
          <w:szCs w:val="20"/>
        </w:rPr>
        <w:t>rocedury</w:t>
      </w:r>
      <w:bookmarkEnd w:id="28"/>
      <w:bookmarkEnd w:id="29"/>
      <w:bookmarkEnd w:id="30"/>
      <w:bookmarkEnd w:id="31"/>
    </w:p>
    <w:p w14:paraId="4DB7FDEA" w14:textId="6BC640E4" w:rsidR="00070EC7" w:rsidRPr="004F4A00" w:rsidRDefault="00070EC7" w:rsidP="00921754">
      <w:pPr>
        <w:jc w:val="both"/>
      </w:pPr>
      <w:r w:rsidRPr="004F4A00">
        <w:t xml:space="preserve">Za realizację </w:t>
      </w:r>
      <w:r w:rsidR="00942740">
        <w:t>P</w:t>
      </w:r>
      <w:r w:rsidR="00942740" w:rsidRPr="004F4A00">
        <w:t xml:space="preserve">rocedury </w:t>
      </w:r>
      <w:r w:rsidRPr="004F4A00">
        <w:t xml:space="preserve">odpowiedzialne są </w:t>
      </w:r>
      <w:r w:rsidR="006537CB">
        <w:rPr>
          <w:szCs w:val="18"/>
        </w:rPr>
        <w:t>ZUP lub podmiot zobowiązany</w:t>
      </w:r>
      <w:r w:rsidRPr="004F4A00">
        <w:t xml:space="preserve"> w zakresie w niej określonym.</w:t>
      </w:r>
    </w:p>
    <w:p w14:paraId="2694E96E" w14:textId="24AA324F" w:rsidR="00784AC7" w:rsidRPr="004F4A00" w:rsidRDefault="006537CB" w:rsidP="001D4555">
      <w:pPr>
        <w:pStyle w:val="Nagwek1"/>
        <w:numPr>
          <w:ilvl w:val="0"/>
          <w:numId w:val="1"/>
        </w:numPr>
        <w:rPr>
          <w:szCs w:val="20"/>
        </w:rPr>
      </w:pPr>
      <w:bookmarkStart w:id="32" w:name="_Toc509489501"/>
      <w:r>
        <w:rPr>
          <w:szCs w:val="20"/>
        </w:rPr>
        <w:lastRenderedPageBreak/>
        <w:t>Aktualizacja procedury</w:t>
      </w:r>
      <w:bookmarkEnd w:id="32"/>
    </w:p>
    <w:p w14:paraId="39CBD842" w14:textId="339BA339" w:rsidR="00483955" w:rsidRDefault="006537CB" w:rsidP="00D0480D">
      <w:pPr>
        <w:pStyle w:val="bezodstpw"/>
        <w:numPr>
          <w:ilvl w:val="0"/>
          <w:numId w:val="0"/>
        </w:numPr>
        <w:spacing w:line="360" w:lineRule="auto"/>
        <w:jc w:val="both"/>
      </w:pPr>
      <w:r>
        <w:t xml:space="preserve">Za aktualizację Procedury odpowiedzialny jest </w:t>
      </w:r>
      <w:r>
        <w:rPr>
          <w:szCs w:val="18"/>
        </w:rPr>
        <w:t xml:space="preserve">ZUP lub podmiot zobowiązany. </w:t>
      </w:r>
      <w:r w:rsidR="00784AC7" w:rsidRPr="004F4D6F">
        <w:t xml:space="preserve">Wszelkie zmiany do niniejszej </w:t>
      </w:r>
      <w:r w:rsidR="00A707FC">
        <w:t>P</w:t>
      </w:r>
      <w:r w:rsidR="00784AC7" w:rsidRPr="004F4D6F">
        <w:t xml:space="preserve">rocedury wymagają formy pisemnej. </w:t>
      </w:r>
      <w:r w:rsidR="004F4D6F" w:rsidRPr="004F4D6F">
        <w:t>Aktualizacja</w:t>
      </w:r>
      <w:r w:rsidR="004F4D6F">
        <w:t xml:space="preserve"> </w:t>
      </w:r>
      <w:r w:rsidR="004F4D6F" w:rsidRPr="004F4D6F">
        <w:t>załączników</w:t>
      </w:r>
      <w:r w:rsidR="00942C74" w:rsidRPr="004F4D6F">
        <w:t xml:space="preserve"> nie wymaga</w:t>
      </w:r>
      <w:r w:rsidR="004F4D6F" w:rsidRPr="004F4D6F">
        <w:t xml:space="preserve"> aktualizacji Procedury</w:t>
      </w:r>
      <w:r w:rsidR="004F4D6F">
        <w:t xml:space="preserve">. </w:t>
      </w:r>
      <w:r w:rsidR="00584E18">
        <w:t xml:space="preserve">ZUP lub podmiot zobowiązany </w:t>
      </w:r>
      <w:r w:rsidR="004F4D6F">
        <w:t>informuje OSP o zmianach w załącznik</w:t>
      </w:r>
      <w:r w:rsidR="00022107">
        <w:t>ach</w:t>
      </w:r>
      <w:r w:rsidR="004F4D6F">
        <w:t xml:space="preserve"> w formie pisemnej.</w:t>
      </w:r>
      <w:r w:rsidR="00D0480D" w:rsidRPr="00D0480D">
        <w:rPr>
          <w:i/>
        </w:rPr>
        <w:t xml:space="preserve"> </w:t>
      </w:r>
      <w:r w:rsidR="00D0480D" w:rsidRPr="00D0480D">
        <w:t xml:space="preserve">Załącznik 2 jest aktualizowany przynajmniej raz w roku. Dla opracowania raportu przygotowania systemu przesyłowego do sezonu zimowego – sporządzanego zgodnie z zapisami Planu Działań Zapobiegawczych, aktualizacja dla danego roku gazowego powinna być dokonana najpóźniej do dnia 10 sierpnia roku poprzedzającego. W przypadku, gdy aktualizacja nie zostanie przekazana do dnia 10 sierpnia roku poprzedzającego, do przygotowania raportu brane są pod uwagę ostatnie przekazane w tym zakresie informacje. </w:t>
      </w:r>
    </w:p>
    <w:p w14:paraId="74D17E05" w14:textId="2BEA9B38" w:rsidR="00D0480D" w:rsidRPr="00D0480D" w:rsidRDefault="00D0480D" w:rsidP="00D0480D">
      <w:pPr>
        <w:pStyle w:val="Nagwek1"/>
        <w:numPr>
          <w:ilvl w:val="0"/>
          <w:numId w:val="1"/>
        </w:numPr>
        <w:rPr>
          <w:szCs w:val="20"/>
        </w:rPr>
      </w:pPr>
      <w:r w:rsidRPr="00D0480D">
        <w:rPr>
          <w:szCs w:val="20"/>
        </w:rPr>
        <w:t>Załączniki</w:t>
      </w:r>
    </w:p>
    <w:p w14:paraId="0F7ACFCF" w14:textId="1DFC7634" w:rsidR="00195E1C" w:rsidRDefault="00D0480D" w:rsidP="00C85B83">
      <w:pPr>
        <w:pStyle w:val="bezodstpw"/>
        <w:spacing w:line="360" w:lineRule="auto"/>
        <w:ind w:left="1134" w:hanging="1134"/>
        <w:jc w:val="both"/>
      </w:pPr>
      <w:r>
        <w:t xml:space="preserve"> </w:t>
      </w:r>
      <w:r w:rsidR="00C91C28" w:rsidRPr="00C91C28">
        <w:t xml:space="preserve">Ilości minimalne, które muszą być dostarczone do odbiorców chronionych w przypadkach określonych w art. </w:t>
      </w:r>
      <w:r w:rsidR="00923B21">
        <w:t>6</w:t>
      </w:r>
      <w:r w:rsidR="00C91C28" w:rsidRPr="00C91C28">
        <w:t xml:space="preserve">ust 1 Rozporządzenia Parlamentu Europejskiego i Rady UE Nr </w:t>
      </w:r>
      <w:r w:rsidR="008F58BB">
        <w:t xml:space="preserve">2017/1938 z dnia 25 października 2017 r. </w:t>
      </w:r>
      <w:r w:rsidR="00C91C28" w:rsidRPr="00C91C28">
        <w:t xml:space="preserve">w sprawie środków zapewniających bezpieczeństwo dostaw gazu ziemnego i </w:t>
      </w:r>
      <w:r w:rsidR="0002062A">
        <w:t>u</w:t>
      </w:r>
      <w:r w:rsidR="008F58BB">
        <w:t>chylające rozporządzenie (UE) nr 994/2010</w:t>
      </w:r>
      <w:r w:rsidR="0089462F">
        <w:t xml:space="preserve">. Załącznik </w:t>
      </w:r>
      <w:r w:rsidR="00F22468">
        <w:t>dotyczy następujących przypadków:</w:t>
      </w:r>
    </w:p>
    <w:p w14:paraId="6B4FF800" w14:textId="009DF45D" w:rsidR="00F22468" w:rsidRDefault="0002062A" w:rsidP="00C85B83">
      <w:pPr>
        <w:pStyle w:val="bezodstpw"/>
        <w:numPr>
          <w:ilvl w:val="0"/>
          <w:numId w:val="21"/>
        </w:numPr>
        <w:spacing w:line="276" w:lineRule="auto"/>
        <w:jc w:val="both"/>
      </w:pPr>
      <w:r>
        <w:t>e</w:t>
      </w:r>
      <w:r w:rsidR="00F22468" w:rsidRPr="00F22468">
        <w:t>kstremalne temperatury w 7-dniowym okresie szczytowego zapotrzebowania na gaz (prawdopodobieństwo raz na 20 lat</w:t>
      </w:r>
      <w:r w:rsidR="00F22468">
        <w:t>- tj. ilość gazu jaka musi być dostarczona do odbiorców chronionych w ciągu 7 dni, w czasie wystąpienia ekstremalnie niskich temperatur otoczenia;</w:t>
      </w:r>
    </w:p>
    <w:p w14:paraId="38A2464E" w14:textId="0B559B94" w:rsidR="00F22468" w:rsidRDefault="00CC12D3" w:rsidP="00C85B83">
      <w:pPr>
        <w:pStyle w:val="bezodstpw"/>
        <w:numPr>
          <w:ilvl w:val="0"/>
          <w:numId w:val="21"/>
        </w:numPr>
        <w:spacing w:line="276" w:lineRule="auto"/>
        <w:jc w:val="both"/>
      </w:pPr>
      <w:r w:rsidRPr="00CC12D3">
        <w:t>okres 30 dni nadzwyczajnie wysokiego zapotrzebowania na gaz (prawdopodobieństwo raz na 20 lat)</w:t>
      </w:r>
      <w:r w:rsidR="00F22468">
        <w:t xml:space="preserve"> </w:t>
      </w:r>
      <w:r>
        <w:t>- tj. ilość gazu jaka musi być dostarczona do odbiorców chronionych w ciągu 30 dni ekstremalnie wysokiego zapotrzebowania</w:t>
      </w:r>
      <w:r w:rsidR="0002062A">
        <w:t xml:space="preserve"> na gaz;</w:t>
      </w:r>
    </w:p>
    <w:p w14:paraId="6E3E3E53" w14:textId="63902142" w:rsidR="0002062A" w:rsidRDefault="0002062A" w:rsidP="00C85B83">
      <w:pPr>
        <w:pStyle w:val="bezodstpw"/>
        <w:numPr>
          <w:ilvl w:val="0"/>
          <w:numId w:val="21"/>
        </w:numPr>
        <w:spacing w:line="276" w:lineRule="auto"/>
        <w:jc w:val="both"/>
      </w:pPr>
      <w:r w:rsidRPr="0002062A">
        <w:t>wystąpienie zakłócenia funkcjonowania największej pojedy</w:t>
      </w:r>
      <w:r>
        <w:t>n</w:t>
      </w:r>
      <w:r w:rsidRPr="0002062A">
        <w:t>czej infrastruktury gazowej w przeciętnych warunkach w okresie zimowym - na okres 30 dni</w:t>
      </w:r>
      <w:r>
        <w:t xml:space="preserve"> - tj. ilość gazu jaka musi być dostarczona do odbiorców chronionych w ciągu 30 dni w warunkach przeciętnej zimy.</w:t>
      </w:r>
    </w:p>
    <w:p w14:paraId="4E0435B0" w14:textId="24AECC8A" w:rsidR="00C85B83" w:rsidRDefault="00921754" w:rsidP="00C85B83">
      <w:pPr>
        <w:pStyle w:val="bezodstpw"/>
        <w:spacing w:line="360" w:lineRule="auto"/>
        <w:ind w:left="1134" w:hanging="1134"/>
        <w:jc w:val="both"/>
      </w:pPr>
      <w:r>
        <w:t xml:space="preserve"> </w:t>
      </w:r>
      <w:bookmarkStart w:id="33" w:name="_Hlk509488233"/>
      <w:r w:rsidR="004F4A00" w:rsidRPr="00195E1C">
        <w:t>Szczegółowe informacje dotyczące dostępnych środków rynkowych</w:t>
      </w:r>
      <w:r w:rsidR="0002062A">
        <w:t xml:space="preserve"> i nierynkowych oraz</w:t>
      </w:r>
      <w:r w:rsidR="004F4A00" w:rsidRPr="00195E1C">
        <w:t xml:space="preserve"> iloś</w:t>
      </w:r>
      <w:r w:rsidR="001739C8">
        <w:t>ciowych efekt</w:t>
      </w:r>
      <w:r w:rsidR="001B6D94">
        <w:t>ów</w:t>
      </w:r>
      <w:r w:rsidR="001739C8">
        <w:t xml:space="preserve"> ich wprowadzenia</w:t>
      </w:r>
      <w:r w:rsidR="00C85B83">
        <w:t>;</w:t>
      </w:r>
      <w:r w:rsidR="00AD5088">
        <w:t xml:space="preserve"> </w:t>
      </w:r>
    </w:p>
    <w:bookmarkEnd w:id="33"/>
    <w:p w14:paraId="28665BA7" w14:textId="77777777" w:rsidR="009E50EA" w:rsidRDefault="00D0480D" w:rsidP="009E50EA">
      <w:pPr>
        <w:pStyle w:val="bezodstpw"/>
        <w:spacing w:line="360" w:lineRule="auto"/>
        <w:ind w:left="1134" w:hanging="1134"/>
      </w:pPr>
      <w:r>
        <w:t xml:space="preserve"> </w:t>
      </w:r>
      <w:r w:rsidR="00384249" w:rsidRPr="00F52EA5">
        <w:t>Lista osób ze strony Operatora</w:t>
      </w:r>
      <w:r w:rsidR="00531430" w:rsidRPr="00F52EA5">
        <w:t xml:space="preserve"> </w:t>
      </w:r>
      <w:r w:rsidR="00F52EA5" w:rsidRPr="00F52EA5">
        <w:t>Gazociągów</w:t>
      </w:r>
      <w:r w:rsidR="00384249" w:rsidRPr="00F52EA5">
        <w:t xml:space="preserve"> Przesyłowych GAZ- SYSTEM S.A.  </w:t>
      </w:r>
      <w:r w:rsidR="00C91C28" w:rsidRPr="00F52EA5">
        <w:t xml:space="preserve">oraz </w:t>
      </w:r>
      <w:r w:rsidR="00584E18">
        <w:t xml:space="preserve">ZUP lub podmiotu zobowiązanego </w:t>
      </w:r>
      <w:r w:rsidR="00384249" w:rsidRPr="00F52EA5">
        <w:t xml:space="preserve">do kontaktów </w:t>
      </w:r>
      <w:r w:rsidR="00C91C28" w:rsidRPr="00F52EA5">
        <w:t>w zakresie</w:t>
      </w:r>
      <w:r w:rsidR="001739C8">
        <w:t xml:space="preserve"> realizacji P</w:t>
      </w:r>
      <w:r w:rsidR="00384249" w:rsidRPr="00F52EA5">
        <w:t>rocedury</w:t>
      </w:r>
      <w:r w:rsidR="00C91C28">
        <w:t>.</w:t>
      </w:r>
    </w:p>
    <w:p w14:paraId="2E4C931B" w14:textId="19C9995B" w:rsidR="009E50EA" w:rsidRDefault="0014620D" w:rsidP="009E50EA">
      <w:pPr>
        <w:pStyle w:val="bezodstpw"/>
        <w:spacing w:line="360" w:lineRule="auto"/>
        <w:ind w:left="1134" w:hanging="1134"/>
      </w:pPr>
      <w:r>
        <w:t xml:space="preserve"> </w:t>
      </w:r>
      <w:bookmarkStart w:id="34" w:name="_GoBack"/>
      <w:bookmarkEnd w:id="34"/>
      <w:r w:rsidR="009E50EA">
        <w:t>Klauzula informacyjna dotycząca ochrony danych osobowych dla osób uprawnionych do wzajemnych kontaktów w zakresie realizacji procedury</w:t>
      </w:r>
    </w:p>
    <w:sectPr w:rsidR="009E50EA" w:rsidSect="009D0473">
      <w:headerReference w:type="default" r:id="rId8"/>
      <w:footerReference w:type="default" r:id="rId9"/>
      <w:type w:val="continuous"/>
      <w:pgSz w:w="11906" w:h="16838" w:code="9"/>
      <w:pgMar w:top="426" w:right="992" w:bottom="567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2F83" w14:textId="77777777" w:rsidR="00581C79" w:rsidRDefault="00581C79" w:rsidP="00983981">
      <w:pPr>
        <w:spacing w:line="240" w:lineRule="auto"/>
      </w:pPr>
      <w:r>
        <w:separator/>
      </w:r>
    </w:p>
  </w:endnote>
  <w:endnote w:type="continuationSeparator" w:id="0">
    <w:p w14:paraId="1EAE5EDE" w14:textId="77777777" w:rsidR="00581C79" w:rsidRDefault="00581C79" w:rsidP="00983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DFB7" w14:textId="2FAC54CF" w:rsidR="00DA325F" w:rsidRDefault="00DA325F" w:rsidP="004869D1">
    <w:pPr>
      <w:pStyle w:val="Nagwek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84E18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84E18">
      <w:rPr>
        <w:b/>
        <w:bCs/>
        <w:noProof/>
      </w:rPr>
      <w:t>14</w:t>
    </w:r>
    <w:r>
      <w:rPr>
        <w:b/>
        <w:bCs/>
      </w:rPr>
      <w:fldChar w:fldCharType="end"/>
    </w:r>
  </w:p>
  <w:p w14:paraId="109A766E" w14:textId="77777777" w:rsidR="00DA325F" w:rsidRDefault="00DA3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49306" w14:textId="77777777" w:rsidR="00581C79" w:rsidRDefault="00581C79" w:rsidP="00983981">
      <w:pPr>
        <w:spacing w:line="240" w:lineRule="auto"/>
      </w:pPr>
      <w:r>
        <w:separator/>
      </w:r>
    </w:p>
  </w:footnote>
  <w:footnote w:type="continuationSeparator" w:id="0">
    <w:p w14:paraId="21E6B41A" w14:textId="77777777" w:rsidR="00581C79" w:rsidRDefault="00581C79" w:rsidP="00983981">
      <w:pPr>
        <w:spacing w:line="240" w:lineRule="auto"/>
      </w:pPr>
      <w:r>
        <w:continuationSeparator/>
      </w:r>
    </w:p>
  </w:footnote>
  <w:footnote w:id="1">
    <w:p w14:paraId="5BFEE19E" w14:textId="12C200AF" w:rsidR="00CC048C" w:rsidRPr="00CC048C" w:rsidRDefault="00CC048C" w:rsidP="00CC048C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C048C">
        <w:rPr>
          <w:sz w:val="16"/>
          <w:szCs w:val="16"/>
        </w:rPr>
        <w:t xml:space="preserve">Stosownie do przepisu art. 6 pkt 1 Rozporządzenia Parlamentu Europejskiego i Rady(UE) 2017/1938 z dnia 25 października 2017 r. </w:t>
      </w:r>
      <w:r w:rsidRPr="00CC048C">
        <w:rPr>
          <w:i/>
          <w:sz w:val="16"/>
          <w:szCs w:val="16"/>
        </w:rPr>
        <w:t>dotyczącego środków zapewniających bezpieczeństwo dostaw gazu ziemnego i uchylającego rozporządzenie (UE) nr 994/2010</w:t>
      </w:r>
      <w:r w:rsidRPr="00CC048C">
        <w:rPr>
          <w:sz w:val="16"/>
          <w:szCs w:val="16"/>
        </w:rPr>
        <w:t xml:space="preserve"> Ministerstwo Energii w dniu 19 lutego 2018 roku notyfikowało polską definicję „odbiorcy chronionego”</w:t>
      </w:r>
      <w:r>
        <w:rPr>
          <w:sz w:val="16"/>
          <w:szCs w:val="16"/>
        </w:rPr>
        <w:t>.</w:t>
      </w:r>
    </w:p>
    <w:p w14:paraId="429D9C0B" w14:textId="2117665E" w:rsidR="00CC048C" w:rsidRDefault="00CC048C">
      <w:pPr>
        <w:pStyle w:val="Tekstprzypisudolnego"/>
      </w:pPr>
    </w:p>
  </w:footnote>
  <w:footnote w:id="2">
    <w:p w14:paraId="11D09518" w14:textId="2BE82AEE" w:rsidR="00DA325F" w:rsidRPr="004F6A9C" w:rsidRDefault="00DA325F">
      <w:pPr>
        <w:pStyle w:val="Tekstprzypisudolnego"/>
        <w:rPr>
          <w:rFonts w:ascii="Century Gothic" w:hAnsi="Century Gothic"/>
          <w:sz w:val="16"/>
          <w:szCs w:val="16"/>
        </w:rPr>
      </w:pPr>
      <w:r w:rsidRPr="004F6A9C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4F6A9C">
        <w:rPr>
          <w:rFonts w:ascii="Century Gothic" w:hAnsi="Century Gothic"/>
          <w:sz w:val="16"/>
          <w:szCs w:val="16"/>
        </w:rPr>
        <w:t xml:space="preserve"> Załącznik VIII do Rozporządzenia 2017/1938 -  wykaz nierynkowych środków w zakresie bezpieczeństwa dostaw gazu</w:t>
      </w:r>
    </w:p>
  </w:footnote>
  <w:footnote w:id="3">
    <w:p w14:paraId="4D42F124" w14:textId="77777777" w:rsidR="009526DD" w:rsidRDefault="009526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6A9C">
        <w:rPr>
          <w:rFonts w:ascii="Century Gothic" w:hAnsi="Century Gothic"/>
          <w:sz w:val="16"/>
          <w:szCs w:val="16"/>
        </w:rPr>
        <w:t>Stosowanie umów na usługi przerywane w szczególności uwzględniono możliwość wprowadzenia ograniczeń handlowych po stronie umów sprzedaży paliwa gazowego.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7ADB" w14:textId="745FA931" w:rsidR="00DA325F" w:rsidRDefault="00DA325F" w:rsidP="00723245">
    <w:pPr>
      <w:spacing w:after="120"/>
      <w:jc w:val="both"/>
    </w:pPr>
    <w:r w:rsidRPr="004F4A00">
      <w:rPr>
        <w:smallCaps/>
        <w:szCs w:val="20"/>
      </w:rPr>
      <w:t xml:space="preserve">Procedura postępowania na wypadek wystąpienia zaburzeń w dostarczaniu </w:t>
    </w:r>
    <w:r>
      <w:rPr>
        <w:smallCaps/>
        <w:szCs w:val="20"/>
      </w:rPr>
      <w:t>gazu ziemnego</w:t>
    </w:r>
    <w:r w:rsidRPr="004F4A00">
      <w:rPr>
        <w:smallCaps/>
        <w:szCs w:val="20"/>
      </w:rPr>
      <w:t xml:space="preserve">, a w szczególności nieprzewidzianego wzrostu zużycia </w:t>
    </w:r>
    <w:r>
      <w:rPr>
        <w:smallCaps/>
        <w:szCs w:val="20"/>
      </w:rPr>
      <w:t xml:space="preserve">gazu ziemnego </w:t>
    </w:r>
    <w:r w:rsidRPr="004F4A00">
      <w:rPr>
        <w:smallCaps/>
        <w:szCs w:val="20"/>
      </w:rPr>
      <w:t xml:space="preserve">przez odbiorców, </w:t>
    </w:r>
    <w:r w:rsidR="00611E4E">
      <w:rPr>
        <w:smallCaps/>
        <w:szCs w:val="20"/>
      </w:rPr>
      <w:t>w</w:t>
    </w:r>
    <w:r w:rsidRPr="004F4A00">
      <w:rPr>
        <w:smallCaps/>
        <w:szCs w:val="20"/>
      </w:rPr>
      <w:t>ystąpieni</w:t>
    </w:r>
    <w:r w:rsidR="00611E4E">
      <w:rPr>
        <w:smallCaps/>
        <w:szCs w:val="20"/>
      </w:rPr>
      <w:t>a</w:t>
    </w:r>
    <w:r w:rsidRPr="004F4A00">
      <w:rPr>
        <w:smallCaps/>
        <w:szCs w:val="20"/>
      </w:rPr>
      <w:t xml:space="preserve"> zakłóceń w dostawach </w:t>
    </w:r>
    <w:r>
      <w:rPr>
        <w:smallCaps/>
        <w:szCs w:val="20"/>
      </w:rPr>
      <w:t>gazu ziemnego</w:t>
    </w:r>
    <w:r w:rsidRPr="004F4A00">
      <w:rPr>
        <w:smallCaps/>
        <w:szCs w:val="20"/>
      </w:rPr>
      <w:t>, wystąpienia sytuacji awaryjnej w instalacji Odbiorcy lub dostaw</w:t>
    </w:r>
    <w:r>
      <w:rPr>
        <w:smallCaps/>
        <w:szCs w:val="20"/>
      </w:rPr>
      <w:t>c</w:t>
    </w:r>
    <w:r w:rsidRPr="004F4A00">
      <w:rPr>
        <w:smallCaps/>
        <w:szCs w:val="20"/>
      </w:rPr>
      <w:t>y</w:t>
    </w:r>
    <w:r>
      <w:rPr>
        <w:smallCaps/>
        <w:szCs w:val="20"/>
      </w:rPr>
      <w:t xml:space="preserve"> </w:t>
    </w:r>
  </w:p>
  <w:p w14:paraId="1A23AA40" w14:textId="77777777" w:rsidR="00DA325F" w:rsidRDefault="00DA3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3D31"/>
    <w:multiLevelType w:val="hybridMultilevel"/>
    <w:tmpl w:val="9D8C8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724D6"/>
    <w:multiLevelType w:val="hybridMultilevel"/>
    <w:tmpl w:val="BBAADD40"/>
    <w:lvl w:ilvl="0" w:tplc="3B5825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0D58"/>
    <w:multiLevelType w:val="hybridMultilevel"/>
    <w:tmpl w:val="31783072"/>
    <w:lvl w:ilvl="0" w:tplc="9F306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1D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0A2D7F"/>
    <w:multiLevelType w:val="hybridMultilevel"/>
    <w:tmpl w:val="4FA0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4A3C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A1925"/>
    <w:multiLevelType w:val="hybridMultilevel"/>
    <w:tmpl w:val="9CC00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74A90"/>
    <w:multiLevelType w:val="hybridMultilevel"/>
    <w:tmpl w:val="90BACA6C"/>
    <w:lvl w:ilvl="0" w:tplc="9F3065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C11A1"/>
    <w:multiLevelType w:val="hybridMultilevel"/>
    <w:tmpl w:val="7584ADA4"/>
    <w:lvl w:ilvl="0" w:tplc="FB0EE8CA">
      <w:start w:val="1"/>
      <w:numFmt w:val="decimal"/>
      <w:lvlText w:val="5.%1"/>
      <w:lvlJc w:val="left"/>
      <w:pPr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350123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0706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A24D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67038C"/>
    <w:multiLevelType w:val="hybridMultilevel"/>
    <w:tmpl w:val="97F6411C"/>
    <w:lvl w:ilvl="0" w:tplc="554A556C">
      <w:start w:val="1"/>
      <w:numFmt w:val="decimal"/>
      <w:lvlText w:val="1.2.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61D48"/>
    <w:multiLevelType w:val="hybridMultilevel"/>
    <w:tmpl w:val="601A5342"/>
    <w:lvl w:ilvl="0" w:tplc="9F306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143548">
      <w:start w:val="1"/>
      <w:numFmt w:val="decimal"/>
      <w:pStyle w:val="bezodstpw"/>
      <w:lvlText w:val="Załącznik %2."/>
      <w:lvlJc w:val="left"/>
      <w:pPr>
        <w:ind w:left="1495" w:hanging="360"/>
      </w:pPr>
      <w:rPr>
        <w:rFonts w:hint="default"/>
        <w:u w:val="singl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82A75"/>
    <w:multiLevelType w:val="hybridMultilevel"/>
    <w:tmpl w:val="76946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54AB5"/>
    <w:multiLevelType w:val="hybridMultilevel"/>
    <w:tmpl w:val="35EC18F4"/>
    <w:lvl w:ilvl="0" w:tplc="33D4DA60">
      <w:start w:val="1"/>
      <w:numFmt w:val="decimal"/>
      <w:lvlText w:val="2.1.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169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CA214C"/>
    <w:multiLevelType w:val="hybridMultilevel"/>
    <w:tmpl w:val="54EC7C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C06A75"/>
    <w:multiLevelType w:val="multilevel"/>
    <w:tmpl w:val="6AF6FE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8" w15:restartNumberingAfterBreak="0">
    <w:nsid w:val="6B270400"/>
    <w:multiLevelType w:val="hybridMultilevel"/>
    <w:tmpl w:val="0BD652F0"/>
    <w:lvl w:ilvl="0" w:tplc="8292AEB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755953"/>
    <w:multiLevelType w:val="hybridMultilevel"/>
    <w:tmpl w:val="BECE6B9C"/>
    <w:lvl w:ilvl="0" w:tplc="381AC686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30A9E"/>
    <w:multiLevelType w:val="hybridMultilevel"/>
    <w:tmpl w:val="0E563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9"/>
  </w:num>
  <w:num w:numId="5">
    <w:abstractNumId w:val="1"/>
  </w:num>
  <w:num w:numId="6">
    <w:abstractNumId w:val="8"/>
  </w:num>
  <w:num w:numId="7">
    <w:abstractNumId w:val="18"/>
  </w:num>
  <w:num w:numId="8">
    <w:abstractNumId w:val="15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3"/>
  </w:num>
  <w:num w:numId="17">
    <w:abstractNumId w:val="20"/>
  </w:num>
  <w:num w:numId="18">
    <w:abstractNumId w:val="4"/>
  </w:num>
  <w:num w:numId="19">
    <w:abstractNumId w:val="0"/>
  </w:num>
  <w:num w:numId="20">
    <w:abstractNumId w:val="17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98"/>
    <w:rsid w:val="00000FDA"/>
    <w:rsid w:val="00002E8F"/>
    <w:rsid w:val="00005C56"/>
    <w:rsid w:val="00007157"/>
    <w:rsid w:val="0001171D"/>
    <w:rsid w:val="00011D9B"/>
    <w:rsid w:val="00012FEB"/>
    <w:rsid w:val="00013761"/>
    <w:rsid w:val="0002049F"/>
    <w:rsid w:val="0002062A"/>
    <w:rsid w:val="00022107"/>
    <w:rsid w:val="00023129"/>
    <w:rsid w:val="00024D78"/>
    <w:rsid w:val="00026EEC"/>
    <w:rsid w:val="000316E9"/>
    <w:rsid w:val="000329F6"/>
    <w:rsid w:val="00033A7D"/>
    <w:rsid w:val="00034C22"/>
    <w:rsid w:val="00035646"/>
    <w:rsid w:val="00036FB4"/>
    <w:rsid w:val="00036FCF"/>
    <w:rsid w:val="0004166C"/>
    <w:rsid w:val="00042342"/>
    <w:rsid w:val="00062A3D"/>
    <w:rsid w:val="000642E8"/>
    <w:rsid w:val="0006443F"/>
    <w:rsid w:val="0006600E"/>
    <w:rsid w:val="00070EC7"/>
    <w:rsid w:val="00073157"/>
    <w:rsid w:val="000763B3"/>
    <w:rsid w:val="00077989"/>
    <w:rsid w:val="000800DF"/>
    <w:rsid w:val="00083420"/>
    <w:rsid w:val="0009048E"/>
    <w:rsid w:val="0009293D"/>
    <w:rsid w:val="00097C2D"/>
    <w:rsid w:val="000A0762"/>
    <w:rsid w:val="000A0D5F"/>
    <w:rsid w:val="000A10D3"/>
    <w:rsid w:val="000A1AB1"/>
    <w:rsid w:val="000A3322"/>
    <w:rsid w:val="000A5CE9"/>
    <w:rsid w:val="000B0EB2"/>
    <w:rsid w:val="000B3A83"/>
    <w:rsid w:val="000C4964"/>
    <w:rsid w:val="000D637B"/>
    <w:rsid w:val="000E2915"/>
    <w:rsid w:val="000E4B6D"/>
    <w:rsid w:val="000F1D35"/>
    <w:rsid w:val="000F7AA8"/>
    <w:rsid w:val="00103331"/>
    <w:rsid w:val="001116FA"/>
    <w:rsid w:val="0011723F"/>
    <w:rsid w:val="001172F2"/>
    <w:rsid w:val="00124E2A"/>
    <w:rsid w:val="00125677"/>
    <w:rsid w:val="0014620D"/>
    <w:rsid w:val="00150D46"/>
    <w:rsid w:val="00150FA1"/>
    <w:rsid w:val="001535C4"/>
    <w:rsid w:val="001537D8"/>
    <w:rsid w:val="00154458"/>
    <w:rsid w:val="00160E1D"/>
    <w:rsid w:val="0016558B"/>
    <w:rsid w:val="001730BB"/>
    <w:rsid w:val="001739C8"/>
    <w:rsid w:val="00176573"/>
    <w:rsid w:val="001935D8"/>
    <w:rsid w:val="00195E1C"/>
    <w:rsid w:val="00197A8E"/>
    <w:rsid w:val="001A010B"/>
    <w:rsid w:val="001A1DAF"/>
    <w:rsid w:val="001A2E32"/>
    <w:rsid w:val="001A32B5"/>
    <w:rsid w:val="001B0E6A"/>
    <w:rsid w:val="001B3692"/>
    <w:rsid w:val="001B5C20"/>
    <w:rsid w:val="001B6D94"/>
    <w:rsid w:val="001C607E"/>
    <w:rsid w:val="001D3E60"/>
    <w:rsid w:val="001D4555"/>
    <w:rsid w:val="001D4B20"/>
    <w:rsid w:val="001D5097"/>
    <w:rsid w:val="001E1084"/>
    <w:rsid w:val="001E3FCE"/>
    <w:rsid w:val="001F4781"/>
    <w:rsid w:val="001F528A"/>
    <w:rsid w:val="001F65EE"/>
    <w:rsid w:val="001F6AB6"/>
    <w:rsid w:val="00201CDE"/>
    <w:rsid w:val="00202309"/>
    <w:rsid w:val="00202A7B"/>
    <w:rsid w:val="00202D32"/>
    <w:rsid w:val="00206227"/>
    <w:rsid w:val="00212CF0"/>
    <w:rsid w:val="0021783A"/>
    <w:rsid w:val="0021794B"/>
    <w:rsid w:val="00222E85"/>
    <w:rsid w:val="002252FF"/>
    <w:rsid w:val="002312CC"/>
    <w:rsid w:val="0023426A"/>
    <w:rsid w:val="00235C78"/>
    <w:rsid w:val="00242634"/>
    <w:rsid w:val="00243B29"/>
    <w:rsid w:val="002440BF"/>
    <w:rsid w:val="00250F1F"/>
    <w:rsid w:val="002526A6"/>
    <w:rsid w:val="00253D27"/>
    <w:rsid w:val="00256EB1"/>
    <w:rsid w:val="00270C14"/>
    <w:rsid w:val="002719AB"/>
    <w:rsid w:val="00273009"/>
    <w:rsid w:val="00285870"/>
    <w:rsid w:val="0028669B"/>
    <w:rsid w:val="002877FC"/>
    <w:rsid w:val="002916CF"/>
    <w:rsid w:val="0029190A"/>
    <w:rsid w:val="00292983"/>
    <w:rsid w:val="002930AF"/>
    <w:rsid w:val="00295A64"/>
    <w:rsid w:val="002A1F2E"/>
    <w:rsid w:val="002A251D"/>
    <w:rsid w:val="002A33E5"/>
    <w:rsid w:val="002A71A6"/>
    <w:rsid w:val="002B1774"/>
    <w:rsid w:val="002B517C"/>
    <w:rsid w:val="002B51BB"/>
    <w:rsid w:val="002C0E71"/>
    <w:rsid w:val="002D225C"/>
    <w:rsid w:val="002D6661"/>
    <w:rsid w:val="002E27E8"/>
    <w:rsid w:val="002E31B7"/>
    <w:rsid w:val="002E47FE"/>
    <w:rsid w:val="002E6AC6"/>
    <w:rsid w:val="002E6C6D"/>
    <w:rsid w:val="002F659B"/>
    <w:rsid w:val="002F748E"/>
    <w:rsid w:val="003055E1"/>
    <w:rsid w:val="00305C92"/>
    <w:rsid w:val="00315183"/>
    <w:rsid w:val="003201BA"/>
    <w:rsid w:val="00324052"/>
    <w:rsid w:val="0032601A"/>
    <w:rsid w:val="0032793B"/>
    <w:rsid w:val="00333D7A"/>
    <w:rsid w:val="00347033"/>
    <w:rsid w:val="00347077"/>
    <w:rsid w:val="00347760"/>
    <w:rsid w:val="00353D27"/>
    <w:rsid w:val="00357A8B"/>
    <w:rsid w:val="003654C3"/>
    <w:rsid w:val="00366631"/>
    <w:rsid w:val="003672DE"/>
    <w:rsid w:val="00367E96"/>
    <w:rsid w:val="003720F8"/>
    <w:rsid w:val="003730C0"/>
    <w:rsid w:val="003772C7"/>
    <w:rsid w:val="00382FBF"/>
    <w:rsid w:val="00384249"/>
    <w:rsid w:val="00386A06"/>
    <w:rsid w:val="00386C60"/>
    <w:rsid w:val="00387B2B"/>
    <w:rsid w:val="0039215D"/>
    <w:rsid w:val="00392E93"/>
    <w:rsid w:val="00394469"/>
    <w:rsid w:val="0039573D"/>
    <w:rsid w:val="003A2043"/>
    <w:rsid w:val="003A252A"/>
    <w:rsid w:val="003A3D2C"/>
    <w:rsid w:val="003A4DE1"/>
    <w:rsid w:val="003A5C8E"/>
    <w:rsid w:val="003B05C2"/>
    <w:rsid w:val="003B2744"/>
    <w:rsid w:val="003C1491"/>
    <w:rsid w:val="003C485D"/>
    <w:rsid w:val="003C7641"/>
    <w:rsid w:val="003D284A"/>
    <w:rsid w:val="003D341A"/>
    <w:rsid w:val="003D3EBB"/>
    <w:rsid w:val="003D4716"/>
    <w:rsid w:val="003D7F02"/>
    <w:rsid w:val="003E2369"/>
    <w:rsid w:val="003E26A7"/>
    <w:rsid w:val="003E6BA9"/>
    <w:rsid w:val="003F6D7F"/>
    <w:rsid w:val="003F78A0"/>
    <w:rsid w:val="00401679"/>
    <w:rsid w:val="00402953"/>
    <w:rsid w:val="0040366C"/>
    <w:rsid w:val="00404C33"/>
    <w:rsid w:val="00407845"/>
    <w:rsid w:val="00410349"/>
    <w:rsid w:val="0041079C"/>
    <w:rsid w:val="004149CE"/>
    <w:rsid w:val="00415BDF"/>
    <w:rsid w:val="00422D6E"/>
    <w:rsid w:val="0042368B"/>
    <w:rsid w:val="00427F47"/>
    <w:rsid w:val="00431BE5"/>
    <w:rsid w:val="00431E00"/>
    <w:rsid w:val="00432429"/>
    <w:rsid w:val="00434DEC"/>
    <w:rsid w:val="00437089"/>
    <w:rsid w:val="004446A7"/>
    <w:rsid w:val="00447212"/>
    <w:rsid w:val="00454CC6"/>
    <w:rsid w:val="00456169"/>
    <w:rsid w:val="0046339C"/>
    <w:rsid w:val="00465FFB"/>
    <w:rsid w:val="00473B10"/>
    <w:rsid w:val="00480568"/>
    <w:rsid w:val="00481D71"/>
    <w:rsid w:val="00483955"/>
    <w:rsid w:val="004857D6"/>
    <w:rsid w:val="004864B7"/>
    <w:rsid w:val="004869D1"/>
    <w:rsid w:val="00487173"/>
    <w:rsid w:val="0049282F"/>
    <w:rsid w:val="004A19C7"/>
    <w:rsid w:val="004A2BE7"/>
    <w:rsid w:val="004A53FE"/>
    <w:rsid w:val="004A565A"/>
    <w:rsid w:val="004B063E"/>
    <w:rsid w:val="004B3158"/>
    <w:rsid w:val="004B6D8A"/>
    <w:rsid w:val="004C549B"/>
    <w:rsid w:val="004C6AF1"/>
    <w:rsid w:val="004D1FA3"/>
    <w:rsid w:val="004D4839"/>
    <w:rsid w:val="004D5CD6"/>
    <w:rsid w:val="004E1D35"/>
    <w:rsid w:val="004E6F28"/>
    <w:rsid w:val="004E7C44"/>
    <w:rsid w:val="004F0BA4"/>
    <w:rsid w:val="004F4A00"/>
    <w:rsid w:val="004F4D6F"/>
    <w:rsid w:val="004F6A9C"/>
    <w:rsid w:val="005016EE"/>
    <w:rsid w:val="00502457"/>
    <w:rsid w:val="00505E3E"/>
    <w:rsid w:val="00522AB4"/>
    <w:rsid w:val="00522B91"/>
    <w:rsid w:val="00523B5B"/>
    <w:rsid w:val="00531430"/>
    <w:rsid w:val="0053216A"/>
    <w:rsid w:val="00532F33"/>
    <w:rsid w:val="0053525C"/>
    <w:rsid w:val="00535FF4"/>
    <w:rsid w:val="00537669"/>
    <w:rsid w:val="005414D9"/>
    <w:rsid w:val="005457D5"/>
    <w:rsid w:val="005464FC"/>
    <w:rsid w:val="005508F6"/>
    <w:rsid w:val="00551210"/>
    <w:rsid w:val="00552118"/>
    <w:rsid w:val="0055265D"/>
    <w:rsid w:val="0055335A"/>
    <w:rsid w:val="00553556"/>
    <w:rsid w:val="00555C11"/>
    <w:rsid w:val="005562FB"/>
    <w:rsid w:val="005568DA"/>
    <w:rsid w:val="00565DC5"/>
    <w:rsid w:val="0056636D"/>
    <w:rsid w:val="00577B23"/>
    <w:rsid w:val="005808CE"/>
    <w:rsid w:val="00581C79"/>
    <w:rsid w:val="00583B44"/>
    <w:rsid w:val="00584E18"/>
    <w:rsid w:val="00585BF7"/>
    <w:rsid w:val="00586419"/>
    <w:rsid w:val="005868BE"/>
    <w:rsid w:val="005870BB"/>
    <w:rsid w:val="00591ECC"/>
    <w:rsid w:val="005A3EEF"/>
    <w:rsid w:val="005B5126"/>
    <w:rsid w:val="005C47BE"/>
    <w:rsid w:val="005D42C2"/>
    <w:rsid w:val="005D5843"/>
    <w:rsid w:val="005D64C5"/>
    <w:rsid w:val="005E404D"/>
    <w:rsid w:val="005E52B8"/>
    <w:rsid w:val="005E6B53"/>
    <w:rsid w:val="005F0A86"/>
    <w:rsid w:val="005F0FCC"/>
    <w:rsid w:val="005F261D"/>
    <w:rsid w:val="00602674"/>
    <w:rsid w:val="006030FE"/>
    <w:rsid w:val="006105D3"/>
    <w:rsid w:val="00611A7B"/>
    <w:rsid w:val="00611E4E"/>
    <w:rsid w:val="006123BF"/>
    <w:rsid w:val="006157F5"/>
    <w:rsid w:val="006172DA"/>
    <w:rsid w:val="00623F60"/>
    <w:rsid w:val="00625B8D"/>
    <w:rsid w:val="0063352E"/>
    <w:rsid w:val="006420DA"/>
    <w:rsid w:val="00643826"/>
    <w:rsid w:val="0064410A"/>
    <w:rsid w:val="00644971"/>
    <w:rsid w:val="00644D68"/>
    <w:rsid w:val="00647DBF"/>
    <w:rsid w:val="006513ED"/>
    <w:rsid w:val="00651C85"/>
    <w:rsid w:val="0065273A"/>
    <w:rsid w:val="006537CB"/>
    <w:rsid w:val="00656EBF"/>
    <w:rsid w:val="00657AD2"/>
    <w:rsid w:val="00670685"/>
    <w:rsid w:val="00673006"/>
    <w:rsid w:val="00674882"/>
    <w:rsid w:val="0067655C"/>
    <w:rsid w:val="006826A4"/>
    <w:rsid w:val="00685404"/>
    <w:rsid w:val="00685CF7"/>
    <w:rsid w:val="006874FE"/>
    <w:rsid w:val="00693081"/>
    <w:rsid w:val="00693B4D"/>
    <w:rsid w:val="0069612B"/>
    <w:rsid w:val="006B21EF"/>
    <w:rsid w:val="006B3148"/>
    <w:rsid w:val="006B4101"/>
    <w:rsid w:val="006B41A1"/>
    <w:rsid w:val="006C1FC4"/>
    <w:rsid w:val="006C4269"/>
    <w:rsid w:val="006D49F4"/>
    <w:rsid w:val="006D4B91"/>
    <w:rsid w:val="006D5105"/>
    <w:rsid w:val="006D65F4"/>
    <w:rsid w:val="006E05CA"/>
    <w:rsid w:val="006F0909"/>
    <w:rsid w:val="006F1056"/>
    <w:rsid w:val="006F3F83"/>
    <w:rsid w:val="006F6174"/>
    <w:rsid w:val="006F7FA8"/>
    <w:rsid w:val="0070401B"/>
    <w:rsid w:val="0072233F"/>
    <w:rsid w:val="00723245"/>
    <w:rsid w:val="00726937"/>
    <w:rsid w:val="00735651"/>
    <w:rsid w:val="007409CB"/>
    <w:rsid w:val="00741B89"/>
    <w:rsid w:val="0075183D"/>
    <w:rsid w:val="00751CC1"/>
    <w:rsid w:val="007536DD"/>
    <w:rsid w:val="0075493A"/>
    <w:rsid w:val="00757C71"/>
    <w:rsid w:val="00757F37"/>
    <w:rsid w:val="00775C9C"/>
    <w:rsid w:val="00784AC7"/>
    <w:rsid w:val="007961A7"/>
    <w:rsid w:val="00796C1E"/>
    <w:rsid w:val="007975F7"/>
    <w:rsid w:val="007A3109"/>
    <w:rsid w:val="007A350C"/>
    <w:rsid w:val="007A5417"/>
    <w:rsid w:val="007A6257"/>
    <w:rsid w:val="007A635D"/>
    <w:rsid w:val="007C6859"/>
    <w:rsid w:val="007C704F"/>
    <w:rsid w:val="007D104C"/>
    <w:rsid w:val="007D1465"/>
    <w:rsid w:val="007D536C"/>
    <w:rsid w:val="007D7D45"/>
    <w:rsid w:val="007D7EF2"/>
    <w:rsid w:val="007E3BA3"/>
    <w:rsid w:val="007E6672"/>
    <w:rsid w:val="007F33F0"/>
    <w:rsid w:val="007F4B45"/>
    <w:rsid w:val="007F76D4"/>
    <w:rsid w:val="007F77E7"/>
    <w:rsid w:val="008005ED"/>
    <w:rsid w:val="008024C0"/>
    <w:rsid w:val="00807A93"/>
    <w:rsid w:val="00810CD7"/>
    <w:rsid w:val="00811BCC"/>
    <w:rsid w:val="00812903"/>
    <w:rsid w:val="00813E8F"/>
    <w:rsid w:val="00816E39"/>
    <w:rsid w:val="00826303"/>
    <w:rsid w:val="0082782A"/>
    <w:rsid w:val="008320C4"/>
    <w:rsid w:val="00832110"/>
    <w:rsid w:val="0083286B"/>
    <w:rsid w:val="00850DC7"/>
    <w:rsid w:val="008515EB"/>
    <w:rsid w:val="008529EE"/>
    <w:rsid w:val="00852FDE"/>
    <w:rsid w:val="0085436E"/>
    <w:rsid w:val="00856495"/>
    <w:rsid w:val="00856ED0"/>
    <w:rsid w:val="0086308B"/>
    <w:rsid w:val="0086437F"/>
    <w:rsid w:val="008706BF"/>
    <w:rsid w:val="00875024"/>
    <w:rsid w:val="00876240"/>
    <w:rsid w:val="008765C2"/>
    <w:rsid w:val="008808B2"/>
    <w:rsid w:val="00886A9A"/>
    <w:rsid w:val="008927BF"/>
    <w:rsid w:val="008929F4"/>
    <w:rsid w:val="008940CA"/>
    <w:rsid w:val="0089462F"/>
    <w:rsid w:val="0089609D"/>
    <w:rsid w:val="00897A18"/>
    <w:rsid w:val="008A1211"/>
    <w:rsid w:val="008A22C4"/>
    <w:rsid w:val="008A6FCB"/>
    <w:rsid w:val="008B10E8"/>
    <w:rsid w:val="008B4823"/>
    <w:rsid w:val="008C63BC"/>
    <w:rsid w:val="008C6CF2"/>
    <w:rsid w:val="008C7305"/>
    <w:rsid w:val="008C76D1"/>
    <w:rsid w:val="008E18F1"/>
    <w:rsid w:val="008E361A"/>
    <w:rsid w:val="008E4581"/>
    <w:rsid w:val="008F1E9A"/>
    <w:rsid w:val="008F58BB"/>
    <w:rsid w:val="00900657"/>
    <w:rsid w:val="0090440F"/>
    <w:rsid w:val="0090686E"/>
    <w:rsid w:val="00916A72"/>
    <w:rsid w:val="00921754"/>
    <w:rsid w:val="00921D14"/>
    <w:rsid w:val="00922D4B"/>
    <w:rsid w:val="009233E1"/>
    <w:rsid w:val="00923908"/>
    <w:rsid w:val="00923B21"/>
    <w:rsid w:val="009344A8"/>
    <w:rsid w:val="009356BD"/>
    <w:rsid w:val="009412FB"/>
    <w:rsid w:val="00942740"/>
    <w:rsid w:val="00942C74"/>
    <w:rsid w:val="00946EC4"/>
    <w:rsid w:val="009526DD"/>
    <w:rsid w:val="00952772"/>
    <w:rsid w:val="009533A3"/>
    <w:rsid w:val="0095729D"/>
    <w:rsid w:val="0096073D"/>
    <w:rsid w:val="009632FD"/>
    <w:rsid w:val="00967A94"/>
    <w:rsid w:val="0097208F"/>
    <w:rsid w:val="00972693"/>
    <w:rsid w:val="009749CF"/>
    <w:rsid w:val="00975D0C"/>
    <w:rsid w:val="00976C97"/>
    <w:rsid w:val="00982A88"/>
    <w:rsid w:val="00983981"/>
    <w:rsid w:val="00986D51"/>
    <w:rsid w:val="0099010C"/>
    <w:rsid w:val="00994F67"/>
    <w:rsid w:val="009A5EAE"/>
    <w:rsid w:val="009B023D"/>
    <w:rsid w:val="009B6438"/>
    <w:rsid w:val="009C01C8"/>
    <w:rsid w:val="009C76E0"/>
    <w:rsid w:val="009D0473"/>
    <w:rsid w:val="009D5A85"/>
    <w:rsid w:val="009D72D6"/>
    <w:rsid w:val="009E50EA"/>
    <w:rsid w:val="009F07BF"/>
    <w:rsid w:val="009F1578"/>
    <w:rsid w:val="009F18DC"/>
    <w:rsid w:val="009F7363"/>
    <w:rsid w:val="009F77C9"/>
    <w:rsid w:val="00A00814"/>
    <w:rsid w:val="00A03596"/>
    <w:rsid w:val="00A06891"/>
    <w:rsid w:val="00A128B3"/>
    <w:rsid w:val="00A14B1E"/>
    <w:rsid w:val="00A157A4"/>
    <w:rsid w:val="00A17486"/>
    <w:rsid w:val="00A2034E"/>
    <w:rsid w:val="00A20DB1"/>
    <w:rsid w:val="00A3147E"/>
    <w:rsid w:val="00A32247"/>
    <w:rsid w:val="00A32A7A"/>
    <w:rsid w:val="00A348B4"/>
    <w:rsid w:val="00A36CE8"/>
    <w:rsid w:val="00A42CB2"/>
    <w:rsid w:val="00A4561A"/>
    <w:rsid w:val="00A45CAD"/>
    <w:rsid w:val="00A47A54"/>
    <w:rsid w:val="00A5142E"/>
    <w:rsid w:val="00A556A7"/>
    <w:rsid w:val="00A611D9"/>
    <w:rsid w:val="00A676EB"/>
    <w:rsid w:val="00A707FC"/>
    <w:rsid w:val="00A732D3"/>
    <w:rsid w:val="00A758C8"/>
    <w:rsid w:val="00A7750C"/>
    <w:rsid w:val="00A818CF"/>
    <w:rsid w:val="00A81E05"/>
    <w:rsid w:val="00A91781"/>
    <w:rsid w:val="00A933BF"/>
    <w:rsid w:val="00A957D7"/>
    <w:rsid w:val="00A96BA3"/>
    <w:rsid w:val="00AA19F4"/>
    <w:rsid w:val="00AB2CE3"/>
    <w:rsid w:val="00AB563A"/>
    <w:rsid w:val="00AB7ABE"/>
    <w:rsid w:val="00AC5DC7"/>
    <w:rsid w:val="00AD1463"/>
    <w:rsid w:val="00AD225D"/>
    <w:rsid w:val="00AD3B7D"/>
    <w:rsid w:val="00AD5088"/>
    <w:rsid w:val="00AE0665"/>
    <w:rsid w:val="00AE0DA0"/>
    <w:rsid w:val="00AE23D0"/>
    <w:rsid w:val="00AE5599"/>
    <w:rsid w:val="00AF047F"/>
    <w:rsid w:val="00AF0EE2"/>
    <w:rsid w:val="00AF706A"/>
    <w:rsid w:val="00B00E5E"/>
    <w:rsid w:val="00B055AB"/>
    <w:rsid w:val="00B0597C"/>
    <w:rsid w:val="00B100D4"/>
    <w:rsid w:val="00B10B65"/>
    <w:rsid w:val="00B2001E"/>
    <w:rsid w:val="00B25A88"/>
    <w:rsid w:val="00B26D92"/>
    <w:rsid w:val="00B34A2B"/>
    <w:rsid w:val="00B35746"/>
    <w:rsid w:val="00B359DD"/>
    <w:rsid w:val="00B36F87"/>
    <w:rsid w:val="00B37184"/>
    <w:rsid w:val="00B40053"/>
    <w:rsid w:val="00B403B6"/>
    <w:rsid w:val="00B40975"/>
    <w:rsid w:val="00B421B4"/>
    <w:rsid w:val="00B4229B"/>
    <w:rsid w:val="00B435CF"/>
    <w:rsid w:val="00B44099"/>
    <w:rsid w:val="00B443FF"/>
    <w:rsid w:val="00B5509B"/>
    <w:rsid w:val="00B55AC4"/>
    <w:rsid w:val="00B5646C"/>
    <w:rsid w:val="00B62176"/>
    <w:rsid w:val="00B656C2"/>
    <w:rsid w:val="00B669A4"/>
    <w:rsid w:val="00B67A8E"/>
    <w:rsid w:val="00B72757"/>
    <w:rsid w:val="00B773A8"/>
    <w:rsid w:val="00B83BEF"/>
    <w:rsid w:val="00B84CC4"/>
    <w:rsid w:val="00B908E3"/>
    <w:rsid w:val="00B90CC3"/>
    <w:rsid w:val="00BA150A"/>
    <w:rsid w:val="00BA16D3"/>
    <w:rsid w:val="00BA199C"/>
    <w:rsid w:val="00BA236A"/>
    <w:rsid w:val="00BA30A8"/>
    <w:rsid w:val="00BA3A5F"/>
    <w:rsid w:val="00BA6756"/>
    <w:rsid w:val="00BB6857"/>
    <w:rsid w:val="00BB6F71"/>
    <w:rsid w:val="00BB7EE3"/>
    <w:rsid w:val="00BC002D"/>
    <w:rsid w:val="00BC1149"/>
    <w:rsid w:val="00BC4EAF"/>
    <w:rsid w:val="00BC62A0"/>
    <w:rsid w:val="00BC74F3"/>
    <w:rsid w:val="00BD313E"/>
    <w:rsid w:val="00BD649E"/>
    <w:rsid w:val="00BD7538"/>
    <w:rsid w:val="00BE1A3A"/>
    <w:rsid w:val="00BE341F"/>
    <w:rsid w:val="00BE40F6"/>
    <w:rsid w:val="00BE6B24"/>
    <w:rsid w:val="00BF35E6"/>
    <w:rsid w:val="00BF6311"/>
    <w:rsid w:val="00C01836"/>
    <w:rsid w:val="00C03AB3"/>
    <w:rsid w:val="00C04E36"/>
    <w:rsid w:val="00C05627"/>
    <w:rsid w:val="00C109F6"/>
    <w:rsid w:val="00C1105F"/>
    <w:rsid w:val="00C1148E"/>
    <w:rsid w:val="00C3628A"/>
    <w:rsid w:val="00C5108F"/>
    <w:rsid w:val="00C67101"/>
    <w:rsid w:val="00C70235"/>
    <w:rsid w:val="00C70A05"/>
    <w:rsid w:val="00C8034E"/>
    <w:rsid w:val="00C84C5E"/>
    <w:rsid w:val="00C85B83"/>
    <w:rsid w:val="00C8792F"/>
    <w:rsid w:val="00C91C28"/>
    <w:rsid w:val="00C930E7"/>
    <w:rsid w:val="00C95323"/>
    <w:rsid w:val="00C96A9B"/>
    <w:rsid w:val="00C9796B"/>
    <w:rsid w:val="00CA5E16"/>
    <w:rsid w:val="00CA6A1F"/>
    <w:rsid w:val="00CC048C"/>
    <w:rsid w:val="00CC12D3"/>
    <w:rsid w:val="00CC56F1"/>
    <w:rsid w:val="00CC5CC4"/>
    <w:rsid w:val="00CD22F9"/>
    <w:rsid w:val="00CD4A2C"/>
    <w:rsid w:val="00CE04FF"/>
    <w:rsid w:val="00CE3306"/>
    <w:rsid w:val="00CE50EB"/>
    <w:rsid w:val="00CF38BC"/>
    <w:rsid w:val="00CF6E42"/>
    <w:rsid w:val="00D01BB8"/>
    <w:rsid w:val="00D0480D"/>
    <w:rsid w:val="00D07006"/>
    <w:rsid w:val="00D14099"/>
    <w:rsid w:val="00D17198"/>
    <w:rsid w:val="00D233E9"/>
    <w:rsid w:val="00D24A02"/>
    <w:rsid w:val="00D279B3"/>
    <w:rsid w:val="00D547C7"/>
    <w:rsid w:val="00D575CF"/>
    <w:rsid w:val="00D6133F"/>
    <w:rsid w:val="00D61CF5"/>
    <w:rsid w:val="00D62C06"/>
    <w:rsid w:val="00D64CF9"/>
    <w:rsid w:val="00D67276"/>
    <w:rsid w:val="00D70C97"/>
    <w:rsid w:val="00D816D0"/>
    <w:rsid w:val="00D82436"/>
    <w:rsid w:val="00D82AFC"/>
    <w:rsid w:val="00D914B3"/>
    <w:rsid w:val="00D91B0D"/>
    <w:rsid w:val="00D965FF"/>
    <w:rsid w:val="00DA08A0"/>
    <w:rsid w:val="00DA1954"/>
    <w:rsid w:val="00DA274C"/>
    <w:rsid w:val="00DA325F"/>
    <w:rsid w:val="00DA79C1"/>
    <w:rsid w:val="00DB564B"/>
    <w:rsid w:val="00DB6D36"/>
    <w:rsid w:val="00DC1B14"/>
    <w:rsid w:val="00DC481B"/>
    <w:rsid w:val="00DC50A4"/>
    <w:rsid w:val="00DC6FA2"/>
    <w:rsid w:val="00DD1885"/>
    <w:rsid w:val="00DD2E11"/>
    <w:rsid w:val="00DE34C7"/>
    <w:rsid w:val="00DE3E3C"/>
    <w:rsid w:val="00DE4E0E"/>
    <w:rsid w:val="00DE5E2B"/>
    <w:rsid w:val="00DF27FD"/>
    <w:rsid w:val="00E0271C"/>
    <w:rsid w:val="00E055C4"/>
    <w:rsid w:val="00E05772"/>
    <w:rsid w:val="00E13637"/>
    <w:rsid w:val="00E1706C"/>
    <w:rsid w:val="00E17E98"/>
    <w:rsid w:val="00E22DBC"/>
    <w:rsid w:val="00E243EF"/>
    <w:rsid w:val="00E311A6"/>
    <w:rsid w:val="00E31D80"/>
    <w:rsid w:val="00E33C43"/>
    <w:rsid w:val="00E3774B"/>
    <w:rsid w:val="00E4090F"/>
    <w:rsid w:val="00E42A1B"/>
    <w:rsid w:val="00E50FA1"/>
    <w:rsid w:val="00E523D1"/>
    <w:rsid w:val="00E53072"/>
    <w:rsid w:val="00E5736E"/>
    <w:rsid w:val="00E64A4F"/>
    <w:rsid w:val="00E72DE6"/>
    <w:rsid w:val="00E757BE"/>
    <w:rsid w:val="00E759E4"/>
    <w:rsid w:val="00E75F5A"/>
    <w:rsid w:val="00E76851"/>
    <w:rsid w:val="00E76879"/>
    <w:rsid w:val="00E86E14"/>
    <w:rsid w:val="00E942E2"/>
    <w:rsid w:val="00E94A22"/>
    <w:rsid w:val="00E96B54"/>
    <w:rsid w:val="00EA0A76"/>
    <w:rsid w:val="00EA2062"/>
    <w:rsid w:val="00EB4A20"/>
    <w:rsid w:val="00EB63BC"/>
    <w:rsid w:val="00EC0B93"/>
    <w:rsid w:val="00EC4F21"/>
    <w:rsid w:val="00EE11F2"/>
    <w:rsid w:val="00EE178E"/>
    <w:rsid w:val="00EE20F2"/>
    <w:rsid w:val="00EE3060"/>
    <w:rsid w:val="00EE788C"/>
    <w:rsid w:val="00EF422B"/>
    <w:rsid w:val="00EF44EE"/>
    <w:rsid w:val="00EF4F90"/>
    <w:rsid w:val="00EF5046"/>
    <w:rsid w:val="00EF72CD"/>
    <w:rsid w:val="00F12004"/>
    <w:rsid w:val="00F207F3"/>
    <w:rsid w:val="00F22468"/>
    <w:rsid w:val="00F23D91"/>
    <w:rsid w:val="00F26402"/>
    <w:rsid w:val="00F429B0"/>
    <w:rsid w:val="00F45934"/>
    <w:rsid w:val="00F46FE3"/>
    <w:rsid w:val="00F4723E"/>
    <w:rsid w:val="00F47882"/>
    <w:rsid w:val="00F47C28"/>
    <w:rsid w:val="00F52816"/>
    <w:rsid w:val="00F52AF0"/>
    <w:rsid w:val="00F52EA5"/>
    <w:rsid w:val="00F548D6"/>
    <w:rsid w:val="00F7004D"/>
    <w:rsid w:val="00F72498"/>
    <w:rsid w:val="00F75A18"/>
    <w:rsid w:val="00F80134"/>
    <w:rsid w:val="00F81B73"/>
    <w:rsid w:val="00F832E8"/>
    <w:rsid w:val="00F91F81"/>
    <w:rsid w:val="00FA1737"/>
    <w:rsid w:val="00FA1DBB"/>
    <w:rsid w:val="00FA2194"/>
    <w:rsid w:val="00FA61C2"/>
    <w:rsid w:val="00FA71EA"/>
    <w:rsid w:val="00FB0384"/>
    <w:rsid w:val="00FB1FB2"/>
    <w:rsid w:val="00FB4277"/>
    <w:rsid w:val="00FB6B80"/>
    <w:rsid w:val="00FC0187"/>
    <w:rsid w:val="00FC18CE"/>
    <w:rsid w:val="00FC526E"/>
    <w:rsid w:val="00FD02BD"/>
    <w:rsid w:val="00FD1836"/>
    <w:rsid w:val="00FD2A03"/>
    <w:rsid w:val="00FD3176"/>
    <w:rsid w:val="00FE214E"/>
    <w:rsid w:val="00FE2239"/>
    <w:rsid w:val="00FF03F5"/>
    <w:rsid w:val="00FF2C4C"/>
    <w:rsid w:val="00FF596A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63E8DB6"/>
  <w15:docId w15:val="{E04DE2EF-7C5E-4B3B-B9ED-6A66481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54"/>
    <w:pPr>
      <w:spacing w:line="360" w:lineRule="auto"/>
    </w:pPr>
    <w:rPr>
      <w:rFonts w:ascii="Century Gothic" w:hAnsi="Century Gothic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2F33"/>
    <w:pPr>
      <w:keepNext/>
      <w:keepLines/>
      <w:spacing w:before="240" w:after="240"/>
      <w:outlineLvl w:val="0"/>
    </w:pPr>
    <w:rPr>
      <w:rFonts w:eastAsia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6CE8"/>
    <w:pPr>
      <w:keepNext/>
      <w:keepLines/>
      <w:spacing w:before="120" w:after="120"/>
      <w:outlineLvl w:val="1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8013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8013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aliases w:val="tab"/>
    <w:basedOn w:val="Normalny"/>
    <w:next w:val="Normalny"/>
    <w:link w:val="Nagwek7Znak"/>
    <w:uiPriority w:val="99"/>
    <w:qFormat/>
    <w:rsid w:val="00DA1954"/>
    <w:pPr>
      <w:keepNext/>
      <w:keepLines/>
      <w:outlineLvl w:val="6"/>
    </w:pPr>
    <w:rPr>
      <w:rFonts w:eastAsia="Times New Roman"/>
      <w:iCs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856E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5EA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2F33"/>
    <w:rPr>
      <w:rFonts w:ascii="Century Gothic" w:eastAsia="Times New Roman" w:hAnsi="Century Gothic"/>
      <w:b/>
      <w:bCs/>
      <w:sz w:val="20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36CE8"/>
    <w:rPr>
      <w:rFonts w:ascii="Century Gothic" w:eastAsia="Times New Roman" w:hAnsi="Century Gothic"/>
      <w:bCs/>
      <w:sz w:val="2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80134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134"/>
    <w:rPr>
      <w:rFonts w:ascii="Cambria" w:hAnsi="Cambria" w:cs="Times New Roman"/>
      <w:color w:val="243F60"/>
    </w:rPr>
  </w:style>
  <w:style w:type="character" w:customStyle="1" w:styleId="Nagwek7Znak">
    <w:name w:val="Nagłówek 7 Znak"/>
    <w:aliases w:val="tab Znak"/>
    <w:basedOn w:val="Domylnaczcionkaakapitu"/>
    <w:link w:val="Nagwek7"/>
    <w:uiPriority w:val="99"/>
    <w:locked/>
    <w:rsid w:val="00DA1954"/>
    <w:rPr>
      <w:rFonts w:ascii="Century Gothic" w:eastAsia="Times New Roman" w:hAnsi="Century Gothic"/>
      <w:iCs/>
      <w:sz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A5EAE"/>
    <w:rPr>
      <w:rFonts w:ascii="Cambria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aliases w:val="TABELA"/>
    <w:basedOn w:val="Normalny"/>
    <w:uiPriority w:val="34"/>
    <w:qFormat/>
    <w:rsid w:val="005016EE"/>
    <w:pPr>
      <w:spacing w:before="60" w:after="60" w:line="240" w:lineRule="auto"/>
      <w:jc w:val="both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rsid w:val="009A5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5E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E20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839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39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39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3981"/>
    <w:rPr>
      <w:rFonts w:cs="Times New Roman"/>
    </w:rPr>
  </w:style>
  <w:style w:type="paragraph" w:styleId="Bezodstpw0">
    <w:name w:val="No Spacing"/>
    <w:aliases w:val="podpisy tabel"/>
    <w:uiPriority w:val="99"/>
    <w:qFormat/>
    <w:rsid w:val="00EB63BC"/>
    <w:pPr>
      <w:spacing w:line="480" w:lineRule="auto"/>
    </w:pPr>
    <w:rPr>
      <w:rFonts w:ascii="Century Gothic" w:hAnsi="Century Gothic"/>
      <w:b/>
      <w:sz w:val="20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F45934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B7ABE"/>
    <w:pPr>
      <w:tabs>
        <w:tab w:val="left" w:pos="426"/>
        <w:tab w:val="right" w:leader="dot" w:pos="9628"/>
      </w:tabs>
    </w:pPr>
    <w:rPr>
      <w:bCs/>
      <w:szCs w:val="20"/>
    </w:rPr>
  </w:style>
  <w:style w:type="character" w:styleId="Hipercze">
    <w:name w:val="Hyperlink"/>
    <w:basedOn w:val="Domylnaczcionkaakapitu"/>
    <w:uiPriority w:val="99"/>
    <w:rsid w:val="00F4593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82F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82FB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82FB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2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2FBF"/>
    <w:rPr>
      <w:rFonts w:cs="Times New Roman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53525C"/>
    <w:pPr>
      <w:tabs>
        <w:tab w:val="left" w:pos="440"/>
        <w:tab w:val="right" w:leader="dot" w:pos="9628"/>
      </w:tabs>
    </w:pPr>
    <w:rPr>
      <w:bCs/>
      <w:cap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D1465"/>
    <w:pPr>
      <w:spacing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146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D1465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locked/>
    <w:rsid w:val="0053525C"/>
    <w:pPr>
      <w:ind w:left="220"/>
    </w:pPr>
    <w:rPr>
      <w:szCs w:val="20"/>
    </w:rPr>
  </w:style>
  <w:style w:type="paragraph" w:styleId="Spistreci4">
    <w:name w:val="toc 4"/>
    <w:basedOn w:val="Normalny"/>
    <w:next w:val="Normalny"/>
    <w:autoRedefine/>
    <w:locked/>
    <w:rsid w:val="00DE4E0E"/>
    <w:pPr>
      <w:ind w:left="440"/>
    </w:pPr>
    <w:rPr>
      <w:rFonts w:asciiTheme="minorHAnsi" w:hAnsiTheme="minorHAnsi"/>
      <w:szCs w:val="20"/>
    </w:rPr>
  </w:style>
  <w:style w:type="paragraph" w:styleId="Spistreci5">
    <w:name w:val="toc 5"/>
    <w:basedOn w:val="Normalny"/>
    <w:next w:val="Normalny"/>
    <w:autoRedefine/>
    <w:locked/>
    <w:rsid w:val="00DE4E0E"/>
    <w:pPr>
      <w:ind w:left="660"/>
    </w:pPr>
    <w:rPr>
      <w:rFonts w:asciiTheme="minorHAnsi" w:hAnsiTheme="minorHAnsi"/>
      <w:szCs w:val="20"/>
    </w:rPr>
  </w:style>
  <w:style w:type="paragraph" w:styleId="Spistreci6">
    <w:name w:val="toc 6"/>
    <w:basedOn w:val="Normalny"/>
    <w:next w:val="Normalny"/>
    <w:autoRedefine/>
    <w:locked/>
    <w:rsid w:val="00DE4E0E"/>
    <w:pPr>
      <w:ind w:left="880"/>
    </w:pPr>
    <w:rPr>
      <w:rFonts w:asciiTheme="minorHAnsi" w:hAnsiTheme="minorHAnsi"/>
      <w:szCs w:val="20"/>
    </w:rPr>
  </w:style>
  <w:style w:type="paragraph" w:styleId="Spistreci7">
    <w:name w:val="toc 7"/>
    <w:basedOn w:val="Normalny"/>
    <w:next w:val="Normalny"/>
    <w:autoRedefine/>
    <w:locked/>
    <w:rsid w:val="00DE4E0E"/>
    <w:pPr>
      <w:ind w:left="1100"/>
    </w:pPr>
    <w:rPr>
      <w:rFonts w:asciiTheme="minorHAnsi" w:hAnsiTheme="minorHAnsi"/>
      <w:szCs w:val="20"/>
    </w:rPr>
  </w:style>
  <w:style w:type="paragraph" w:styleId="Spistreci8">
    <w:name w:val="toc 8"/>
    <w:basedOn w:val="Normalny"/>
    <w:next w:val="Normalny"/>
    <w:autoRedefine/>
    <w:locked/>
    <w:rsid w:val="00DE4E0E"/>
    <w:pPr>
      <w:ind w:left="1320"/>
    </w:pPr>
    <w:rPr>
      <w:rFonts w:asciiTheme="minorHAnsi" w:hAnsiTheme="minorHAnsi"/>
      <w:szCs w:val="20"/>
    </w:rPr>
  </w:style>
  <w:style w:type="paragraph" w:styleId="Spistreci9">
    <w:name w:val="toc 9"/>
    <w:basedOn w:val="Normalny"/>
    <w:next w:val="Normalny"/>
    <w:autoRedefine/>
    <w:locked/>
    <w:rsid w:val="00DE4E0E"/>
    <w:pPr>
      <w:ind w:left="1540"/>
    </w:pPr>
    <w:rPr>
      <w:rFonts w:asciiTheme="minorHAnsi" w:hAnsiTheme="minorHAnsi"/>
      <w:szCs w:val="20"/>
    </w:rPr>
  </w:style>
  <w:style w:type="character" w:styleId="Tytuksiki">
    <w:name w:val="Book Title"/>
    <w:basedOn w:val="Domylnaczcionkaakapitu"/>
    <w:uiPriority w:val="33"/>
    <w:qFormat/>
    <w:rsid w:val="00EB63BC"/>
    <w:rPr>
      <w:b/>
      <w:bCs/>
      <w:smallCaps/>
      <w:spacing w:val="5"/>
    </w:rPr>
  </w:style>
  <w:style w:type="character" w:styleId="Pogrubienie">
    <w:name w:val="Strong"/>
    <w:basedOn w:val="Domylnaczcionkaakapitu"/>
    <w:qFormat/>
    <w:locked/>
    <w:rsid w:val="00FF2C4C"/>
    <w:rPr>
      <w:b/>
      <w:bCs/>
    </w:rPr>
  </w:style>
  <w:style w:type="character" w:styleId="Uwydatnienie">
    <w:name w:val="Emphasis"/>
    <w:basedOn w:val="Domylnaczcionkaakapitu"/>
    <w:qFormat/>
    <w:locked/>
    <w:rsid w:val="00FF2C4C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856E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bezodstpw">
    <w:name w:val="bez odstępów"/>
    <w:basedOn w:val="Akapitzlist"/>
    <w:qFormat/>
    <w:rsid w:val="00A707FC"/>
    <w:pPr>
      <w:numPr>
        <w:ilvl w:val="1"/>
        <w:numId w:val="3"/>
      </w:numPr>
      <w:spacing w:before="120" w:after="120"/>
      <w:ind w:left="1440"/>
      <w:jc w:val="left"/>
    </w:pPr>
    <w:rPr>
      <w:sz w:val="20"/>
      <w:szCs w:val="20"/>
    </w:rPr>
  </w:style>
  <w:style w:type="paragraph" w:styleId="Poprawka">
    <w:name w:val="Revision"/>
    <w:hidden/>
    <w:uiPriority w:val="99"/>
    <w:semiHidden/>
    <w:rsid w:val="005A3EEF"/>
    <w:rPr>
      <w:rFonts w:ascii="Century Gothic" w:hAnsi="Century Gothic"/>
      <w:sz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8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2B8F-5D68-4BF5-98E0-2C429F23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2161</Words>
  <Characters>15116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NA WYPADEK WYSTĄPIENIA SYTUACJI ZABURZEŃ W DOSTARCZANIU PALIW GAZOWYCH, A W SZCZEGÓLNOŚCI NIEPRZEWIDZIANEGO WZROSTU ZUŻYCIA PALIWA GAZOWEGO PRZEZ ODBIORCÓW, Z WYSTĄPIENIEM ZAKŁÓCEŃ W DOSTAWACH PALIWA GAZOWEGO, WYSTĄPIENIA SYTUACJI</vt:lpstr>
    </vt:vector>
  </TitlesOfParts>
  <Company>Gaz-System S. A.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NA WYPADEK WYSTĄPIENIA SYTUACJI ZABURZEŃ W DOSTARCZANIU PALIW GAZOWYCH, A W SZCZEGÓLNOŚCI NIEPRZEWIDZIANEGO WZROSTU ZUŻYCIA PALIWA GAZOWEGO PRZEZ ODBIORCÓW, Z WYSTĄPIENIEM ZAKŁÓCEŃ W DOSTAWACH PALIWA GAZOWEGO, WYSTĄPIENIA SYTUACJI</dc:title>
  <dc:creator>katarzyna.szajkowska</dc:creator>
  <cp:lastModifiedBy>Siewiera Agnieszka</cp:lastModifiedBy>
  <cp:revision>5</cp:revision>
  <cp:lastPrinted>2017-12-21T09:13:00Z</cp:lastPrinted>
  <dcterms:created xsi:type="dcterms:W3CDTF">2018-11-05T07:55:00Z</dcterms:created>
  <dcterms:modified xsi:type="dcterms:W3CDTF">2018-11-07T08:09:00Z</dcterms:modified>
</cp:coreProperties>
</file>